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outlineLvl w:val="9"/>
        <w:rPr>
          <w:rFonts w:hint="eastAsia"/>
          <w:b/>
          <w:bCs/>
          <w:sz w:val="36"/>
          <w:szCs w:val="36"/>
          <w:lang w:eastAsia="zh-CN"/>
        </w:rPr>
      </w:pPr>
      <w:bookmarkStart w:id="0" w:name="_Toc520106020"/>
      <w:bookmarkStart w:id="1" w:name="_Toc525657128"/>
      <w:bookmarkStart w:id="2" w:name="_Toc2932611"/>
      <w:bookmarkStart w:id="3" w:name="_Toc520555148"/>
      <w:bookmarkStart w:id="4" w:name="_Toc14420"/>
      <w:r>
        <w:rPr>
          <w:rFonts w:hint="eastAsia"/>
          <w:sz w:val="36"/>
          <w:szCs w:val="36"/>
        </w:rPr>
        <w:t>维普考试服务平台</w:t>
      </w:r>
      <w:bookmarkEnd w:id="0"/>
      <w:bookmarkEnd w:id="1"/>
      <w:bookmarkEnd w:id="2"/>
      <w:bookmarkEnd w:id="3"/>
      <w:r>
        <w:rPr>
          <w:rFonts w:hint="eastAsia"/>
          <w:sz w:val="36"/>
          <w:szCs w:val="36"/>
        </w:rPr>
        <w:t>（VERS）</w:t>
      </w:r>
      <w:r>
        <w:rPr>
          <w:rFonts w:hint="eastAsia"/>
          <w:b/>
          <w:bCs/>
          <w:sz w:val="36"/>
          <w:szCs w:val="36"/>
          <w:lang w:eastAsia="zh-CN"/>
        </w:rPr>
        <w:t>使用手册</w:t>
      </w:r>
      <w:bookmarkEnd w:id="4"/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2580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hint="eastAsia" w:ascii="宋体" w:hAnsi="宋体" w:eastAsia="宋体" w:cstheme="minorBidi"/>
              <w:kern w:val="2"/>
              <w:sz w:val="28"/>
              <w:szCs w:val="28"/>
              <w:lang w:val="en-US" w:eastAsia="zh-CN" w:bidi="ar-SA"/>
            </w:rPr>
            <w:t>目录</w:t>
          </w:r>
          <w:r>
            <w:rPr>
              <w:rFonts w:hint="eastAsia"/>
              <w:lang w:eastAsia="zh-CN"/>
            </w:rPr>
            <w:fldChar w:fldCharType="begin"/>
          </w:r>
          <w:r>
            <w:rPr>
              <w:rFonts w:hint="eastAsia"/>
              <w:lang w:eastAsia="zh-CN"/>
            </w:rPr>
            <w:instrText xml:space="preserve">TOC \o "1-3" \h \u </w:instrText>
          </w:r>
          <w:r>
            <w:rPr>
              <w:rFonts w:hint="eastAsia"/>
              <w:lang w:eastAsia="zh-CN"/>
            </w:rPr>
            <w:fldChar w:fldCharType="separate"/>
          </w:r>
        </w:p>
        <w:p>
          <w:pPr>
            <w:pStyle w:val="7"/>
            <w:tabs>
              <w:tab w:val="right" w:leader="dot" w:pos="8306"/>
              <w:tab w:val="clear" w:pos="840"/>
              <w:tab w:val="clear" w:pos="8296"/>
            </w:tabs>
            <w:rPr>
              <w:sz w:val="24"/>
              <w:szCs w:val="24"/>
            </w:rPr>
          </w:pPr>
          <w:r>
            <w:rPr>
              <w:rFonts w:hint="eastAsia"/>
              <w:color w:val="auto"/>
              <w:sz w:val="24"/>
              <w:szCs w:val="24"/>
              <w:lang w:eastAsia="zh-CN"/>
            </w:rPr>
            <w:fldChar w:fldCharType="begin"/>
          </w:r>
          <w:r>
            <w:rPr>
              <w:rFonts w:hint="eastAsia"/>
              <w:color w:val="auto"/>
              <w:sz w:val="24"/>
              <w:szCs w:val="24"/>
              <w:lang w:eastAsia="zh-CN"/>
            </w:rPr>
            <w:instrText xml:space="preserve"> HYPERLINK \l _Toc427 </w:instrText>
          </w:r>
          <w:r>
            <w:rPr>
              <w:rFonts w:hint="eastAsia"/>
              <w:color w:val="auto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color w:val="auto"/>
              <w:sz w:val="24"/>
              <w:szCs w:val="24"/>
              <w:lang w:eastAsia="zh-CN"/>
            </w:rPr>
            <w:t>一、</w:t>
          </w:r>
          <w:r>
            <w:rPr>
              <w:rFonts w:hint="eastAsia" w:ascii="黑体" w:hAnsi="黑体" w:eastAsia="黑体" w:cs="黑体"/>
              <w:color w:val="auto"/>
              <w:sz w:val="24"/>
              <w:szCs w:val="24"/>
            </w:rPr>
            <w:t>产品概述</w:t>
          </w:r>
          <w:r>
            <w:rPr>
              <w:color w:val="auto"/>
              <w:sz w:val="24"/>
              <w:szCs w:val="24"/>
            </w:rPr>
            <w:tab/>
          </w:r>
          <w:r>
            <w:rPr>
              <w:color w:val="auto"/>
              <w:sz w:val="24"/>
              <w:szCs w:val="24"/>
            </w:rPr>
            <w:fldChar w:fldCharType="begin"/>
          </w:r>
          <w:r>
            <w:rPr>
              <w:color w:val="auto"/>
              <w:sz w:val="24"/>
              <w:szCs w:val="24"/>
            </w:rPr>
            <w:instrText xml:space="preserve"> PAGEREF _Toc427 </w:instrText>
          </w:r>
          <w:r>
            <w:rPr>
              <w:color w:val="auto"/>
              <w:sz w:val="24"/>
              <w:szCs w:val="24"/>
            </w:rPr>
            <w:fldChar w:fldCharType="separate"/>
          </w:r>
          <w:r>
            <w:rPr>
              <w:color w:val="auto"/>
              <w:sz w:val="24"/>
              <w:szCs w:val="24"/>
            </w:rPr>
            <w:t>1</w:t>
          </w:r>
          <w:r>
            <w:rPr>
              <w:color w:val="auto"/>
              <w:sz w:val="24"/>
              <w:szCs w:val="24"/>
            </w:rPr>
            <w:fldChar w:fldCharType="end"/>
          </w:r>
          <w:r>
            <w:rPr>
              <w:rFonts w:hint="eastAsia"/>
              <w:color w:val="auto"/>
              <w:sz w:val="24"/>
              <w:szCs w:val="24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40"/>
              <w:tab w:val="clear" w:pos="8296"/>
            </w:tabs>
            <w:rPr>
              <w:sz w:val="24"/>
              <w:szCs w:val="24"/>
            </w:rPr>
          </w:pPr>
          <w:r>
            <w:rPr>
              <w:rFonts w:hint="eastAsia"/>
              <w:color w:val="auto"/>
              <w:sz w:val="24"/>
              <w:szCs w:val="24"/>
              <w:lang w:eastAsia="zh-CN"/>
            </w:rPr>
            <w:fldChar w:fldCharType="begin"/>
          </w:r>
          <w:r>
            <w:rPr>
              <w:rFonts w:hint="eastAsia"/>
              <w:color w:val="auto"/>
              <w:sz w:val="24"/>
              <w:szCs w:val="24"/>
              <w:lang w:eastAsia="zh-CN"/>
            </w:rPr>
            <w:instrText xml:space="preserve"> HYPERLINK \l _Toc31472 </w:instrText>
          </w:r>
          <w:r>
            <w:rPr>
              <w:rFonts w:hint="eastAsia"/>
              <w:color w:val="auto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color w:val="auto"/>
              <w:sz w:val="24"/>
              <w:szCs w:val="24"/>
              <w:lang w:eastAsia="zh-CN"/>
            </w:rPr>
            <w:t>二、</w:t>
          </w:r>
          <w:r>
            <w:rPr>
              <w:rFonts w:hint="eastAsia" w:ascii="黑体" w:hAnsi="黑体" w:eastAsia="黑体" w:cs="黑体"/>
              <w:color w:val="auto"/>
              <w:sz w:val="24"/>
              <w:szCs w:val="24"/>
            </w:rPr>
            <w:t>产品架构</w:t>
          </w:r>
          <w:r>
            <w:rPr>
              <w:color w:val="auto"/>
              <w:sz w:val="24"/>
              <w:szCs w:val="24"/>
            </w:rPr>
            <w:tab/>
          </w:r>
          <w:r>
            <w:rPr>
              <w:color w:val="auto"/>
              <w:sz w:val="24"/>
              <w:szCs w:val="24"/>
            </w:rPr>
            <w:fldChar w:fldCharType="begin"/>
          </w:r>
          <w:r>
            <w:rPr>
              <w:color w:val="auto"/>
              <w:sz w:val="24"/>
              <w:szCs w:val="24"/>
            </w:rPr>
            <w:instrText xml:space="preserve"> PAGEREF _Toc31472 </w:instrText>
          </w:r>
          <w:r>
            <w:rPr>
              <w:color w:val="auto"/>
              <w:sz w:val="24"/>
              <w:szCs w:val="24"/>
            </w:rPr>
            <w:fldChar w:fldCharType="separate"/>
          </w:r>
          <w:r>
            <w:rPr>
              <w:color w:val="auto"/>
              <w:sz w:val="24"/>
              <w:szCs w:val="24"/>
            </w:rPr>
            <w:t>2</w:t>
          </w:r>
          <w:r>
            <w:rPr>
              <w:color w:val="auto"/>
              <w:sz w:val="24"/>
              <w:szCs w:val="24"/>
            </w:rPr>
            <w:fldChar w:fldCharType="end"/>
          </w:r>
          <w:r>
            <w:rPr>
              <w:rFonts w:hint="eastAsia"/>
              <w:color w:val="auto"/>
              <w:sz w:val="24"/>
              <w:szCs w:val="24"/>
              <w:lang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40"/>
              <w:tab w:val="clear" w:pos="8296"/>
            </w:tabs>
            <w:rPr>
              <w:sz w:val="24"/>
              <w:szCs w:val="24"/>
            </w:rPr>
          </w:pPr>
          <w:r>
            <w:rPr>
              <w:rFonts w:hint="eastAsia"/>
              <w:color w:val="auto"/>
              <w:sz w:val="24"/>
              <w:szCs w:val="24"/>
              <w:lang w:eastAsia="zh-CN"/>
            </w:rPr>
            <w:fldChar w:fldCharType="begin"/>
          </w:r>
          <w:r>
            <w:rPr>
              <w:rFonts w:hint="eastAsia"/>
              <w:color w:val="auto"/>
              <w:sz w:val="24"/>
              <w:szCs w:val="24"/>
              <w:lang w:eastAsia="zh-CN"/>
            </w:rPr>
            <w:instrText xml:space="preserve"> HYPERLINK \l _Toc30196 </w:instrText>
          </w:r>
          <w:r>
            <w:rPr>
              <w:rFonts w:hint="eastAsia"/>
              <w:color w:val="auto"/>
              <w:sz w:val="24"/>
              <w:szCs w:val="24"/>
              <w:lang w:eastAsia="zh-CN"/>
            </w:rPr>
            <w:fldChar w:fldCharType="separate"/>
          </w:r>
          <w:r>
            <w:rPr>
              <w:rFonts w:hint="eastAsia" w:ascii="黑体" w:hAnsi="黑体" w:eastAsia="黑体" w:cs="黑体"/>
              <w:color w:val="auto"/>
              <w:sz w:val="24"/>
              <w:szCs w:val="24"/>
              <w:lang w:eastAsia="zh-CN"/>
            </w:rPr>
            <w:t>三、</w:t>
          </w:r>
          <w:r>
            <w:rPr>
              <w:rFonts w:hint="eastAsia" w:ascii="黑体" w:hAnsi="黑体" w:eastAsia="黑体" w:cs="黑体"/>
              <w:color w:val="auto"/>
              <w:sz w:val="24"/>
              <w:szCs w:val="24"/>
            </w:rPr>
            <w:t>产品使用流程</w:t>
          </w:r>
          <w:r>
            <w:rPr>
              <w:color w:val="auto"/>
              <w:sz w:val="24"/>
              <w:szCs w:val="24"/>
            </w:rPr>
            <w:tab/>
          </w:r>
          <w:r>
            <w:rPr>
              <w:color w:val="auto"/>
              <w:sz w:val="24"/>
              <w:szCs w:val="24"/>
            </w:rPr>
            <w:fldChar w:fldCharType="begin"/>
          </w:r>
          <w:r>
            <w:rPr>
              <w:color w:val="auto"/>
              <w:sz w:val="24"/>
              <w:szCs w:val="24"/>
            </w:rPr>
            <w:instrText xml:space="preserve"> PAGEREF _Toc30196 </w:instrText>
          </w:r>
          <w:r>
            <w:rPr>
              <w:color w:val="auto"/>
              <w:sz w:val="24"/>
              <w:szCs w:val="24"/>
            </w:rPr>
            <w:fldChar w:fldCharType="separate"/>
          </w:r>
          <w:r>
            <w:rPr>
              <w:color w:val="auto"/>
              <w:sz w:val="24"/>
              <w:szCs w:val="24"/>
            </w:rPr>
            <w:t>2</w:t>
          </w:r>
          <w:r>
            <w:rPr>
              <w:color w:val="auto"/>
              <w:sz w:val="24"/>
              <w:szCs w:val="24"/>
            </w:rPr>
            <w:fldChar w:fldCharType="end"/>
          </w:r>
          <w:r>
            <w:rPr>
              <w:rFonts w:hint="eastAsia"/>
              <w:color w:val="auto"/>
              <w:sz w:val="24"/>
              <w:szCs w:val="24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0" w:leftChars="0" w:firstLine="0" w:firstLineChars="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_Toc23649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default"/>
              <w:bCs/>
              <w:sz w:val="21"/>
              <w:szCs w:val="21"/>
            </w:rPr>
            <w:t xml:space="preserve">1、 </w:t>
          </w:r>
          <w:r>
            <w:rPr>
              <w:rFonts w:hint="eastAsia"/>
              <w:bCs/>
              <w:sz w:val="21"/>
              <w:szCs w:val="21"/>
            </w:rPr>
            <w:t>登录与注册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_Toc23649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_Toc16094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bCs/>
              <w:sz w:val="21"/>
              <w:szCs w:val="21"/>
            </w:rPr>
            <w:t>个人用户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_Toc16094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_Toc16779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bCs/>
              <w:sz w:val="21"/>
              <w:szCs w:val="21"/>
            </w:rPr>
            <w:t>机构用户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_Toc16779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0" w:leftChars="0" w:firstLine="0" w:firstLineChars="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_Toc14538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default"/>
              <w:bCs/>
              <w:sz w:val="21"/>
              <w:szCs w:val="21"/>
            </w:rPr>
            <w:t xml:space="preserve">2、 </w:t>
          </w:r>
          <w:r>
            <w:rPr>
              <w:rFonts w:hint="eastAsia"/>
              <w:bCs/>
              <w:sz w:val="21"/>
              <w:szCs w:val="21"/>
            </w:rPr>
            <w:t>职业资格模块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_Toc14538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_Toc7214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bCs/>
              <w:sz w:val="21"/>
              <w:szCs w:val="21"/>
            </w:rPr>
            <w:t>题库练习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_Toc7214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2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_Toc461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bCs/>
              <w:sz w:val="21"/>
              <w:szCs w:val="21"/>
            </w:rPr>
            <w:t>在线模考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_Toc461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_Toc8184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bCs/>
              <w:sz w:val="21"/>
              <w:szCs w:val="21"/>
            </w:rPr>
            <w:t>专项练习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_Toc8184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3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_Toc7435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bCs/>
              <w:sz w:val="21"/>
              <w:szCs w:val="21"/>
            </w:rPr>
            <w:t>随机组卷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_Toc7435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4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0" w:leftChars="0" w:firstLine="0" w:firstLineChars="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_Toc4360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default"/>
              <w:bCs/>
              <w:sz w:val="21"/>
              <w:szCs w:val="21"/>
            </w:rPr>
            <w:t xml:space="preserve">3、 </w:t>
          </w:r>
          <w:r>
            <w:rPr>
              <w:rFonts w:hint="eastAsia"/>
              <w:bCs/>
              <w:sz w:val="21"/>
              <w:szCs w:val="21"/>
            </w:rPr>
            <w:t>高教题库模块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_Toc4360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4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_Toc23972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  <w:lang w:eastAsia="zh-CN"/>
            </w:rPr>
            <w:t>试</w:t>
          </w:r>
          <w:r>
            <w:rPr>
              <w:rFonts w:hint="eastAsia" w:ascii="Calibri" w:hAnsi="Calibri"/>
              <w:sz w:val="21"/>
              <w:szCs w:val="21"/>
            </w:rPr>
            <w:t>题库功能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_Toc23972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4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_Toc32650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</w:rPr>
            <w:t>试卷库功能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_Toc32650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5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_Toc15959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</w:rPr>
            <w:t>章节练习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_Toc15959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_Toc8548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</w:rPr>
            <w:t>专项练习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_Toc8548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0" w:leftChars="0" w:firstLine="0" w:firstLineChars="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_Toc13073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default"/>
              <w:bCs/>
              <w:sz w:val="21"/>
              <w:szCs w:val="21"/>
            </w:rPr>
            <w:t xml:space="preserve">4、 </w:t>
          </w:r>
          <w:r>
            <w:rPr>
              <w:rFonts w:hint="eastAsia"/>
              <w:bCs/>
              <w:sz w:val="21"/>
              <w:szCs w:val="21"/>
            </w:rPr>
            <w:t>移动应用模块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_Toc13073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_Toc16899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</w:rPr>
            <w:t>维普考典APP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_Toc16899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6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_Toc11250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</w:rPr>
            <w:t>维普掌上题库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_Toc11250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7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ind w:left="0" w:leftChars="0" w:firstLine="0" w:firstLineChars="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_Toc16837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sz w:val="21"/>
              <w:szCs w:val="21"/>
            </w:rPr>
            <w:t xml:space="preserve"> </w:t>
          </w:r>
          <w:r>
            <w:rPr>
              <w:rFonts w:hint="eastAsia"/>
              <w:bCs/>
              <w:sz w:val="21"/>
              <w:szCs w:val="21"/>
              <w:lang w:val="en-US" w:eastAsia="zh-CN"/>
            </w:rPr>
            <w:t>5、</w:t>
          </w:r>
          <w:r>
            <w:rPr>
              <w:rFonts w:hint="eastAsia"/>
              <w:bCs/>
              <w:sz w:val="21"/>
              <w:szCs w:val="21"/>
            </w:rPr>
            <w:t>个人中心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_Toc16837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7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_Toc32154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</w:rPr>
            <w:t>登录个人中心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_Toc32154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7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_Toc10654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</w:rPr>
            <w:t>做卷记录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_Toc10654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_Toc16569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</w:rPr>
            <w:t>错题库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_Toc16569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ind w:left="0" w:leftChars="0" w:firstLine="420" w:firstLineChars="200"/>
            <w:rPr>
              <w:sz w:val="21"/>
              <w:szCs w:val="21"/>
            </w:rPr>
          </w:pPr>
          <w:r>
            <w:rPr>
              <w:rFonts w:hint="eastAsia"/>
              <w:sz w:val="21"/>
              <w:szCs w:val="21"/>
              <w:lang w:eastAsia="zh-CN"/>
            </w:rPr>
            <w:fldChar w:fldCharType="begin"/>
          </w:r>
          <w:r>
            <w:rPr>
              <w:rFonts w:hint="eastAsia"/>
              <w:sz w:val="21"/>
              <w:szCs w:val="21"/>
              <w:lang w:eastAsia="zh-CN"/>
            </w:rPr>
            <w:instrText xml:space="preserve"> HYPERLINK \l _Toc15584 </w:instrText>
          </w:r>
          <w:r>
            <w:rPr>
              <w:rFonts w:hint="eastAsia"/>
              <w:sz w:val="21"/>
              <w:szCs w:val="21"/>
              <w:lang w:eastAsia="zh-CN"/>
            </w:rPr>
            <w:fldChar w:fldCharType="separate"/>
          </w:r>
          <w:r>
            <w:rPr>
              <w:rFonts w:hint="eastAsia" w:ascii="Calibri" w:hAnsi="Calibri"/>
              <w:sz w:val="21"/>
              <w:szCs w:val="21"/>
            </w:rPr>
            <w:t>收藏试卷</w:t>
          </w:r>
          <w:r>
            <w:rPr>
              <w:sz w:val="21"/>
              <w:szCs w:val="21"/>
            </w:rPr>
            <w:tab/>
          </w: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 PAGEREF _Toc15584 </w:instrText>
          </w:r>
          <w:r>
            <w:rPr>
              <w:sz w:val="21"/>
              <w:szCs w:val="21"/>
            </w:rPr>
            <w:fldChar w:fldCharType="separate"/>
          </w:r>
          <w:r>
            <w:rPr>
              <w:sz w:val="21"/>
              <w:szCs w:val="21"/>
            </w:rPr>
            <w:t>8</w:t>
          </w:r>
          <w:r>
            <w:rPr>
              <w:sz w:val="21"/>
              <w:szCs w:val="21"/>
            </w:rPr>
            <w:fldChar w:fldCharType="end"/>
          </w:r>
          <w:r>
            <w:rPr>
              <w:rFonts w:hint="eastAsia"/>
              <w:sz w:val="21"/>
              <w:szCs w:val="21"/>
              <w:lang w:eastAsia="zh-CN"/>
            </w:rPr>
            <w:fldChar w:fldCharType="end"/>
          </w:r>
        </w:p>
        <w:p>
          <w:pPr>
            <w:rPr>
              <w:rFonts w:hint="eastAsia"/>
              <w:lang w:eastAsia="zh-CN"/>
            </w:rPr>
          </w:pPr>
          <w:r>
            <w:rPr>
              <w:rFonts w:hint="eastAsia"/>
              <w:lang w:eastAsia="zh-CN"/>
            </w:rPr>
            <w:fldChar w:fldCharType="end"/>
          </w: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 w:asciiTheme="minorHAnsi" w:hAnsiTheme="minorHAnsi" w:eastAsiaTheme="minorEastAsia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rPr>
              <w:rFonts w:hint="eastAsia"/>
              <w:lang w:eastAsia="zh-CN"/>
            </w:rPr>
          </w:pPr>
        </w:p>
      </w:sdtContent>
    </w:sdt>
    <w:p>
      <w:pPr>
        <w:outlineLvl w:val="0"/>
        <w:rPr>
          <w:rFonts w:hint="eastAsia" w:ascii="黑体" w:hAnsi="黑体" w:eastAsia="黑体" w:cs="黑体"/>
          <w:sz w:val="28"/>
          <w:szCs w:val="28"/>
        </w:rPr>
      </w:pPr>
      <w:bookmarkStart w:id="5" w:name="_Toc525657130"/>
      <w:bookmarkStart w:id="6" w:name="_Toc520106021"/>
      <w:bookmarkStart w:id="7" w:name="_Toc2932613"/>
      <w:bookmarkStart w:id="8" w:name="_Toc520555149"/>
      <w:bookmarkStart w:id="9" w:name="_Toc427"/>
      <w:r>
        <w:rPr>
          <w:rFonts w:hint="eastAsia" w:ascii="黑体" w:hAnsi="黑体" w:eastAsia="黑体" w:cs="黑体"/>
          <w:sz w:val="28"/>
          <w:szCs w:val="28"/>
          <w:lang w:eastAsia="zh-CN"/>
        </w:rPr>
        <w:t>一、</w:t>
      </w:r>
      <w:r>
        <w:rPr>
          <w:rFonts w:hint="eastAsia" w:ascii="黑体" w:hAnsi="黑体" w:eastAsia="黑体" w:cs="黑体"/>
          <w:sz w:val="28"/>
          <w:szCs w:val="28"/>
        </w:rPr>
        <w:t>产品概述</w:t>
      </w:r>
      <w:bookmarkEnd w:id="5"/>
      <w:bookmarkEnd w:id="6"/>
      <w:bookmarkEnd w:id="7"/>
      <w:bookmarkEnd w:id="8"/>
      <w:bookmarkEnd w:id="9"/>
    </w:p>
    <w:p>
      <w:pPr>
        <w:pStyle w:val="15"/>
        <w:numPr>
          <w:ilvl w:val="0"/>
          <w:numId w:val="1"/>
        </w:numPr>
        <w:ind w:left="420" w:leftChars="0" w:hanging="420" w:firstLineChars="0"/>
      </w:pPr>
      <w:r>
        <w:rPr>
          <w:rFonts w:hint="eastAsia"/>
        </w:rPr>
        <w:t>《维普考试服务平台》</w:t>
      </w:r>
      <w:r>
        <w:rPr>
          <w:rFonts w:hint="eastAsia"/>
          <w:lang w:eastAsia="zh-CN"/>
        </w:rPr>
        <w:t>是</w:t>
      </w:r>
      <w:r>
        <w:rPr>
          <w:rFonts w:hint="eastAsia"/>
        </w:rPr>
        <w:t>集各项职业资格、高教课程</w:t>
      </w:r>
      <w:r>
        <w:rPr>
          <w:rFonts w:hint="eastAsia"/>
          <w:lang w:val="en-US" w:eastAsia="zh-CN"/>
        </w:rPr>
        <w:t>资源</w:t>
      </w:r>
      <w:r>
        <w:rPr>
          <w:rFonts w:hint="eastAsia"/>
        </w:rPr>
        <w:t>于一体，包含海量试题试卷，并提供试题试卷浏览及查询、多</w:t>
      </w:r>
      <w:r>
        <w:rPr>
          <w:rFonts w:hint="eastAsia"/>
          <w:lang w:val="en-US" w:eastAsia="zh-CN"/>
        </w:rPr>
        <w:t>渠道</w:t>
      </w:r>
      <w:r>
        <w:rPr>
          <w:rFonts w:hint="eastAsia"/>
        </w:rPr>
        <w:t>考前练习的考试、学习辅助系统。</w:t>
      </w:r>
    </w:p>
    <w:p>
      <w:pPr>
        <w:pStyle w:val="15"/>
        <w:numPr>
          <w:ilvl w:val="0"/>
          <w:numId w:val="1"/>
        </w:numPr>
        <w:ind w:left="420" w:leftChars="0" w:hanging="420" w:firstLineChars="0"/>
      </w:pPr>
      <w:r>
        <w:rPr>
          <w:rFonts w:hint="eastAsia"/>
        </w:rPr>
        <w:t>共有三个功能模块——职业资格、高教题库、移动应用。</w:t>
      </w:r>
    </w:p>
    <w:p>
      <w:pPr>
        <w:pStyle w:val="15"/>
        <w:numPr>
          <w:ilvl w:val="0"/>
          <w:numId w:val="1"/>
        </w:numPr>
        <w:ind w:left="420" w:leftChars="0" w:hanging="420" w:firstLineChars="0"/>
      </w:pPr>
      <w:r>
        <w:rPr>
          <w:rFonts w:hint="eastAsia" w:ascii="新宋体" w:hAnsi="新宋体" w:eastAsia="新宋体"/>
        </w:rPr>
        <w:t>职业资格模块含有公务员、工程类、语言类等十</w:t>
      </w:r>
      <w:r>
        <w:rPr>
          <w:rFonts w:hint="eastAsia" w:ascii="新宋体" w:hAnsi="新宋体" w:eastAsia="新宋体"/>
          <w:lang w:eastAsia="zh-CN"/>
        </w:rPr>
        <w:t>一</w:t>
      </w:r>
      <w:r>
        <w:rPr>
          <w:rFonts w:hint="eastAsia" w:ascii="新宋体" w:hAnsi="新宋体" w:eastAsia="新宋体"/>
        </w:rPr>
        <w:t>大分类共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8</w:t>
      </w:r>
      <w:r>
        <w:rPr>
          <w:rFonts w:hint="eastAsia" w:ascii="新宋体" w:hAnsi="新宋体" w:eastAsia="新宋体"/>
        </w:rPr>
        <w:t>万</w:t>
      </w:r>
      <w:r>
        <w:rPr>
          <w:rFonts w:hint="eastAsia" w:ascii="新宋体" w:hAnsi="新宋体" w:eastAsia="新宋体"/>
          <w:lang w:eastAsia="zh-CN"/>
        </w:rPr>
        <w:t>余</w:t>
      </w:r>
      <w:r>
        <w:rPr>
          <w:rFonts w:hint="eastAsia" w:ascii="新宋体" w:hAnsi="新宋体" w:eastAsia="新宋体"/>
        </w:rPr>
        <w:t>套真题模拟试卷</w:t>
      </w:r>
      <w:r>
        <w:rPr>
          <w:rFonts w:hint="eastAsia" w:ascii="新宋体" w:hAnsi="新宋体" w:eastAsia="新宋体"/>
          <w:bCs/>
        </w:rPr>
        <w:t>。</w:t>
      </w:r>
    </w:p>
    <w:p>
      <w:pPr>
        <w:pStyle w:val="15"/>
        <w:numPr>
          <w:ilvl w:val="0"/>
          <w:numId w:val="1"/>
        </w:numPr>
        <w:ind w:left="420" w:leftChars="0" w:hanging="420" w:firstLineChars="0"/>
      </w:pPr>
      <w:r>
        <w:rPr>
          <w:rFonts w:hint="eastAsia" w:ascii="新宋体" w:hAnsi="新宋体" w:eastAsia="新宋体"/>
          <w:bCs/>
        </w:rPr>
        <w:t>高教题库模块按照教育部学科分类组织了</w:t>
      </w:r>
      <w:r>
        <w:rPr>
          <w:rFonts w:hint="eastAsia" w:eastAsia="新宋体"/>
          <w:lang w:val="en-US" w:eastAsia="zh-CN"/>
        </w:rPr>
        <w:t>4.1</w:t>
      </w:r>
      <w:r>
        <w:rPr>
          <w:rFonts w:hint="eastAsia"/>
        </w:rPr>
        <w:t>万</w:t>
      </w:r>
      <w:r>
        <w:rPr>
          <w:rFonts w:hint="eastAsia"/>
          <w:lang w:eastAsia="zh-CN"/>
        </w:rPr>
        <w:t>余</w:t>
      </w:r>
      <w:r>
        <w:rPr>
          <w:rFonts w:hint="eastAsia"/>
        </w:rPr>
        <w:t>套试卷，1</w:t>
      </w:r>
      <w:r>
        <w:rPr>
          <w:rFonts w:hint="eastAsia"/>
          <w:lang w:val="en-US" w:eastAsia="zh-CN"/>
        </w:rPr>
        <w:t>80</w:t>
      </w:r>
      <w:r>
        <w:rPr>
          <w:rFonts w:hint="eastAsia"/>
        </w:rPr>
        <w:t>万道试题。</w:t>
      </w:r>
    </w:p>
    <w:p>
      <w:pPr>
        <w:pStyle w:val="15"/>
        <w:numPr>
          <w:ilvl w:val="0"/>
          <w:numId w:val="1"/>
        </w:numPr>
        <w:ind w:left="420" w:leftChars="0" w:hanging="420" w:firstLineChars="0"/>
        <w:rPr>
          <w:highlight w:val="none"/>
        </w:rPr>
      </w:pPr>
      <w:r>
        <w:rPr>
          <w:rFonts w:hint="eastAsia"/>
        </w:rPr>
        <w:t>移动应用模块提供了两种移动服务解决方</w:t>
      </w:r>
      <w:r>
        <w:rPr>
          <w:rFonts w:hint="eastAsia"/>
          <w:highlight w:val="none"/>
        </w:rPr>
        <w:t>案——“维普考典APP”和“维普</w:t>
      </w:r>
      <w:r>
        <w:rPr>
          <w:rFonts w:hint="eastAsia"/>
          <w:highlight w:val="none"/>
          <w:lang w:eastAsia="zh-CN"/>
        </w:rPr>
        <w:t>微信</w:t>
      </w:r>
      <w:r>
        <w:rPr>
          <w:rFonts w:hint="eastAsia"/>
          <w:highlight w:val="none"/>
        </w:rPr>
        <w:t>题库”。</w:t>
      </w:r>
    </w:p>
    <w:p>
      <w:pPr>
        <w:rPr>
          <w:highlight w:val="none"/>
        </w:rPr>
      </w:pPr>
    </w:p>
    <w:p>
      <w:pPr>
        <w:rPr>
          <w:highlight w:val="none"/>
        </w:rPr>
      </w:pPr>
    </w:p>
    <w:p>
      <w:pPr>
        <w:outlineLvl w:val="0"/>
        <w:rPr>
          <w:rFonts w:hint="eastAsia" w:ascii="黑体" w:hAnsi="黑体" w:eastAsia="黑体" w:cs="黑体"/>
          <w:sz w:val="28"/>
          <w:szCs w:val="28"/>
          <w:highlight w:val="none"/>
        </w:rPr>
      </w:pPr>
      <w:bookmarkStart w:id="10" w:name="_Toc525657131"/>
      <w:bookmarkStart w:id="11" w:name="_Toc31472"/>
      <w:bookmarkStart w:id="12" w:name="_Toc2932614"/>
      <w:bookmarkStart w:id="13" w:name="_Toc520106022"/>
      <w:bookmarkStart w:id="14" w:name="_Toc520555150"/>
      <w:r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  <w:t>二、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产品架构</w:t>
      </w:r>
      <w:bookmarkEnd w:id="10"/>
      <w:bookmarkEnd w:id="11"/>
      <w:bookmarkEnd w:id="12"/>
    </w:p>
    <w:p>
      <w:pPr>
        <w:pStyle w:val="15"/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879725"/>
            <wp:effectExtent l="0" t="0" r="5715" b="15875"/>
            <wp:docPr id="2" name="图片 2" descr="维普考试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维普考试ap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</w:pPr>
    </w:p>
    <w:p>
      <w:pPr>
        <w:outlineLvl w:val="0"/>
        <w:rPr>
          <w:rFonts w:hint="eastAsia" w:ascii="黑体" w:hAnsi="黑体" w:eastAsia="黑体" w:cs="黑体"/>
          <w:sz w:val="28"/>
          <w:szCs w:val="28"/>
        </w:rPr>
      </w:pPr>
      <w:bookmarkStart w:id="15" w:name="_Toc30196"/>
      <w:bookmarkStart w:id="16" w:name="_Toc2932615"/>
      <w:bookmarkStart w:id="17" w:name="_Toc525657132"/>
      <w:r>
        <w:rPr>
          <w:rFonts w:hint="eastAsia" w:ascii="黑体" w:hAnsi="黑体" w:eastAsia="黑体" w:cs="黑体"/>
          <w:sz w:val="28"/>
          <w:szCs w:val="28"/>
          <w:lang w:eastAsia="zh-CN"/>
        </w:rPr>
        <w:t>三、</w:t>
      </w:r>
      <w:r>
        <w:rPr>
          <w:rFonts w:hint="eastAsia" w:ascii="黑体" w:hAnsi="黑体" w:eastAsia="黑体" w:cs="黑体"/>
          <w:sz w:val="28"/>
          <w:szCs w:val="28"/>
        </w:rPr>
        <w:t>产品使用流程</w:t>
      </w:r>
      <w:bookmarkEnd w:id="15"/>
      <w:bookmarkEnd w:id="16"/>
      <w:bookmarkEnd w:id="17"/>
    </w:p>
    <w:p>
      <w:pPr>
        <w:pStyle w:val="15"/>
        <w:numPr>
          <w:ilvl w:val="0"/>
          <w:numId w:val="2"/>
        </w:numPr>
        <w:ind w:firstLineChars="0"/>
        <w:outlineLvl w:val="1"/>
        <w:rPr>
          <w:b/>
          <w:bCs/>
        </w:rPr>
      </w:pPr>
      <w:bookmarkStart w:id="18" w:name="_Toc23649"/>
      <w:r>
        <w:rPr>
          <w:rFonts w:hint="eastAsia"/>
          <w:b/>
          <w:bCs/>
        </w:rPr>
        <w:t>登录与注册</w:t>
      </w:r>
      <w:bookmarkEnd w:id="18"/>
    </w:p>
    <w:p>
      <w:pPr>
        <w:ind w:left="420"/>
        <w:outlineLvl w:val="2"/>
        <w:rPr>
          <w:rFonts w:ascii="Calibri" w:hAnsi="Calibri"/>
          <w:b/>
          <w:bCs/>
          <w:highlight w:val="none"/>
        </w:rPr>
      </w:pPr>
      <w:bookmarkStart w:id="19" w:name="_Toc16094"/>
      <w:r>
        <w:rPr>
          <w:rFonts w:ascii="Calibri" w:hAnsi="Calibri"/>
          <w:b/>
          <w:bCs/>
          <w:highlight w:val="none"/>
        </w:rPr>
        <w:t>①</w:t>
      </w:r>
      <w:r>
        <w:rPr>
          <w:rFonts w:hint="eastAsia" w:ascii="Calibri" w:hAnsi="Calibri"/>
          <w:b/>
          <w:bCs/>
          <w:highlight w:val="none"/>
        </w:rPr>
        <w:t>个人用户</w:t>
      </w:r>
      <w:bookmarkEnd w:id="19"/>
    </w:p>
    <w:p>
      <w:pPr>
        <w:ind w:left="420"/>
        <w:rPr>
          <w:rFonts w:ascii="Calibri" w:hAnsi="Calibri"/>
          <w:highlight w:val="none"/>
        </w:rPr>
      </w:pPr>
      <w:r>
        <w:rPr>
          <w:rFonts w:hint="eastAsia" w:ascii="Calibri" w:hAnsi="Calibri"/>
          <w:highlight w:val="none"/>
        </w:rPr>
        <w:t>本站点支持个人用户注册后使用，允许查看部分资源；注册需用真实手机号接收验证码；注册后可通过维普考典APP扫码绑定机构，从而享有机构相同的使用权限；</w:t>
      </w:r>
    </w:p>
    <w:p>
      <w:pPr>
        <w:ind w:left="420"/>
        <w:outlineLvl w:val="2"/>
        <w:rPr>
          <w:rFonts w:ascii="Calibri" w:hAnsi="Calibri"/>
          <w:b/>
          <w:bCs/>
        </w:rPr>
      </w:pPr>
      <w:bookmarkStart w:id="20" w:name="_Toc16779"/>
      <w:r>
        <w:rPr>
          <w:rFonts w:ascii="Calibri" w:hAnsi="Calibri"/>
          <w:b/>
          <w:bCs/>
        </w:rPr>
        <w:t>②</w:t>
      </w:r>
      <w:r>
        <w:rPr>
          <w:rFonts w:hint="eastAsia" w:ascii="Calibri" w:hAnsi="Calibri"/>
          <w:b/>
          <w:bCs/>
        </w:rPr>
        <w:t>机构用户</w:t>
      </w:r>
      <w:bookmarkEnd w:id="20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绑定了机构IP的用户，可直接进入使用界面，查看使用机构订购的全部资源；拥有机构权限的个人用户，也可用个人账号加正确的机构名称登录(限制IP的机构除外)，使用机构订购的资源。</w:t>
      </w:r>
    </w:p>
    <w:p>
      <w:pPr>
        <w:ind w:left="420"/>
        <w:rPr>
          <w:rFonts w:hint="eastAsia" w:ascii="Calibri" w:hAnsi="Calibri"/>
        </w:rPr>
      </w:pPr>
    </w:p>
    <w:p>
      <w:pPr>
        <w:pStyle w:val="15"/>
        <w:numPr>
          <w:ilvl w:val="0"/>
          <w:numId w:val="2"/>
        </w:numPr>
        <w:ind w:firstLineChars="0"/>
        <w:outlineLvl w:val="1"/>
        <w:rPr>
          <w:b/>
          <w:bCs/>
        </w:rPr>
      </w:pPr>
      <w:bookmarkStart w:id="21" w:name="_Toc14538"/>
      <w:r>
        <w:rPr>
          <w:rFonts w:hint="eastAsia"/>
          <w:b/>
          <w:bCs/>
        </w:rPr>
        <w:t>职业资格模块</w:t>
      </w:r>
      <w:bookmarkEnd w:id="21"/>
    </w:p>
    <w:p>
      <w:pPr>
        <w:ind w:left="420"/>
        <w:outlineLvl w:val="2"/>
        <w:rPr>
          <w:rFonts w:ascii="Calibri" w:hAnsi="Calibri"/>
          <w:b/>
          <w:bCs/>
        </w:rPr>
      </w:pPr>
      <w:bookmarkStart w:id="22" w:name="_Toc7214"/>
      <w:r>
        <w:rPr>
          <w:rFonts w:ascii="Calibri" w:hAnsi="Calibri"/>
          <w:b/>
          <w:bCs/>
        </w:rPr>
        <w:t>①</w:t>
      </w:r>
      <w:r>
        <w:rPr>
          <w:rFonts w:hint="eastAsia" w:ascii="Calibri" w:hAnsi="Calibri"/>
          <w:b/>
          <w:bCs/>
        </w:rPr>
        <w:t>题库练习</w:t>
      </w:r>
      <w:bookmarkEnd w:id="22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首页职业资格模块下，点击任意一个二级分类，即可进入该分类下的题库列表功能；题库列表中，分类可细化可切换；可点击“进入题库练习”进行单题训练，客观题错题，系统可自动记入个人中心错题库以便反复训练；页面右侧可进行功能切换，使用该模块下的更多练题功能；</w:t>
      </w:r>
    </w:p>
    <w:p>
      <w:pPr>
        <w:jc w:val="center"/>
      </w:pPr>
      <w:r>
        <w:drawing>
          <wp:inline distT="0" distB="0" distL="0" distR="0">
            <wp:extent cx="5274310" cy="3578860"/>
            <wp:effectExtent l="9525" t="9525" r="12065" b="12065"/>
            <wp:docPr id="6" name="图片 6" descr="C:\Users\ADMINI~1\AppData\Local\Temp\SNAGHTML8a1a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SNAGHTML8a1a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8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outlineLvl w:val="2"/>
        <w:rPr>
          <w:rFonts w:ascii="Calibri" w:hAnsi="Calibri"/>
          <w:b/>
          <w:bCs/>
        </w:rPr>
      </w:pPr>
      <w:bookmarkStart w:id="23" w:name="_Toc461"/>
      <w:r>
        <w:rPr>
          <w:rFonts w:ascii="Calibri" w:hAnsi="Calibri"/>
          <w:b/>
          <w:bCs/>
        </w:rPr>
        <w:t>②</w:t>
      </w:r>
      <w:r>
        <w:rPr>
          <w:rFonts w:hint="eastAsia" w:ascii="Calibri" w:hAnsi="Calibri"/>
          <w:b/>
          <w:bCs/>
        </w:rPr>
        <w:t>在线模考</w:t>
      </w:r>
      <w:bookmarkEnd w:id="23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职业资格模块下的“试卷库”即“在线模考”功能；分类导航条支持分类切换；支持对试卷类型和年份的筛选；“进入考试”功能即提供使用者进行一套试卷的模拟考试训练；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2747010"/>
            <wp:effectExtent l="0" t="0" r="4445" b="15240"/>
            <wp:docPr id="3" name="图片 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outlineLvl w:val="2"/>
        <w:rPr>
          <w:rFonts w:ascii="Calibri" w:hAnsi="Calibri"/>
          <w:b/>
          <w:bCs/>
        </w:rPr>
      </w:pPr>
      <w:bookmarkStart w:id="24" w:name="_Toc8184"/>
      <w:r>
        <w:rPr>
          <w:rFonts w:ascii="Calibri" w:hAnsi="Calibri"/>
          <w:b/>
          <w:bCs/>
        </w:rPr>
        <w:t>③</w:t>
      </w:r>
      <w:r>
        <w:rPr>
          <w:rFonts w:hint="eastAsia" w:ascii="Calibri" w:hAnsi="Calibri"/>
          <w:b/>
          <w:bCs/>
        </w:rPr>
        <w:t>专项练习</w:t>
      </w:r>
      <w:bookmarkEnd w:id="24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专项练习提供使用者有针对性的选择某一类型试题进行集中训练；可以选择考试类别和科目、选择某一试题类型，输入有效的试题数量进行练习；</w:t>
      </w:r>
    </w:p>
    <w:p>
      <w:r>
        <w:drawing>
          <wp:inline distT="0" distB="0" distL="0" distR="0">
            <wp:extent cx="5274310" cy="2317115"/>
            <wp:effectExtent l="9525" t="9525" r="1206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outlineLvl w:val="2"/>
        <w:rPr>
          <w:rFonts w:ascii="Calibri" w:hAnsi="Calibri"/>
          <w:b/>
          <w:bCs/>
        </w:rPr>
      </w:pPr>
      <w:bookmarkStart w:id="25" w:name="_Toc7435"/>
      <w:r>
        <w:rPr>
          <w:rFonts w:ascii="Calibri" w:hAnsi="Calibri"/>
          <w:b/>
          <w:bCs/>
        </w:rPr>
        <w:t>④</w:t>
      </w:r>
      <w:r>
        <w:rPr>
          <w:rFonts w:hint="eastAsia" w:ascii="Calibri" w:hAnsi="Calibri"/>
          <w:b/>
          <w:bCs/>
        </w:rPr>
        <w:t>随机组卷</w:t>
      </w:r>
      <w:bookmarkEnd w:id="25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随机组卷是选择考试类别后，选定系统相匹配的试卷模板，进行组卷练习功能；</w:t>
      </w:r>
    </w:p>
    <w:p>
      <w:r>
        <w:drawing>
          <wp:inline distT="0" distB="0" distL="0" distR="0">
            <wp:extent cx="5274310" cy="1942465"/>
            <wp:effectExtent l="9525" t="9525" r="1206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15"/>
        <w:numPr>
          <w:ilvl w:val="0"/>
          <w:numId w:val="2"/>
        </w:numPr>
        <w:ind w:firstLineChars="0"/>
        <w:outlineLvl w:val="1"/>
        <w:rPr>
          <w:b/>
          <w:bCs/>
        </w:rPr>
      </w:pPr>
      <w:bookmarkStart w:id="26" w:name="_Toc4360"/>
      <w:r>
        <w:rPr>
          <w:rFonts w:hint="eastAsia"/>
          <w:b/>
          <w:bCs/>
        </w:rPr>
        <w:t>高教题库模块</w:t>
      </w:r>
      <w:bookmarkEnd w:id="26"/>
    </w:p>
    <w:p>
      <w:pPr>
        <w:ind w:left="420"/>
        <w:outlineLvl w:val="2"/>
        <w:rPr>
          <w:rFonts w:ascii="Calibri" w:hAnsi="Calibri"/>
          <w:b/>
          <w:bCs/>
        </w:rPr>
      </w:pPr>
      <w:bookmarkStart w:id="27" w:name="_Toc23972"/>
      <w:r>
        <w:rPr>
          <w:rFonts w:ascii="Calibri" w:hAnsi="Calibri"/>
          <w:b/>
          <w:bCs/>
        </w:rPr>
        <w:t>①</w:t>
      </w:r>
      <w:r>
        <w:rPr>
          <w:rFonts w:hint="eastAsia" w:ascii="Calibri" w:hAnsi="Calibri"/>
          <w:b/>
          <w:bCs/>
          <w:lang w:eastAsia="zh-CN"/>
        </w:rPr>
        <w:t>试</w:t>
      </w:r>
      <w:r>
        <w:rPr>
          <w:rFonts w:hint="eastAsia" w:ascii="Calibri" w:hAnsi="Calibri"/>
          <w:b/>
          <w:bCs/>
        </w:rPr>
        <w:t>题库功能</w:t>
      </w:r>
      <w:bookmarkEnd w:id="27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高教题库模块首页下，选择某一具体分类，点击试题链接即可进入题库功能；题库列表下，学科分类可切换，可进一步对试题进行筛选，可点击“进入题库练习”进行单题训练，客观题错题系统将自动记录进错题库。</w:t>
      </w:r>
    </w:p>
    <w:p>
      <w:pPr>
        <w:pStyle w:val="15"/>
        <w:numPr>
          <w:ilvl w:val="0"/>
          <w:numId w:val="0"/>
        </w:numPr>
        <w:ind w:firstLine="420" w:firstLineChars="200"/>
        <w:outlineLvl w:val="9"/>
      </w:pPr>
    </w:p>
    <w:p>
      <w:pPr>
        <w:pStyle w:val="15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5272405" cy="3286125"/>
            <wp:effectExtent l="0" t="0" r="4445" b="9525"/>
            <wp:docPr id="9" name="图片 9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325" cy="2425065"/>
            <wp:effectExtent l="9525" t="9525" r="1905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5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outlineLvl w:val="2"/>
        <w:rPr>
          <w:rFonts w:ascii="Calibri" w:hAnsi="Calibri"/>
          <w:b/>
          <w:bCs/>
        </w:rPr>
      </w:pPr>
      <w:bookmarkStart w:id="28" w:name="_Toc32650"/>
      <w:r>
        <w:rPr>
          <w:rFonts w:ascii="Calibri" w:hAnsi="Calibri"/>
          <w:b/>
          <w:bCs/>
        </w:rPr>
        <w:t>②</w:t>
      </w:r>
      <w:r>
        <w:rPr>
          <w:rFonts w:hint="eastAsia" w:ascii="Calibri" w:hAnsi="Calibri"/>
          <w:b/>
          <w:bCs/>
        </w:rPr>
        <w:t>试卷库功能</w:t>
      </w:r>
      <w:bookmarkEnd w:id="28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高教题库的试卷库功能提供分类下所有试卷的展示，支持切换分类，支持对分类下试卷的进一步筛选，选中一套具体的试卷，点击“进入考试”可进行模拟考试训练。</w:t>
      </w:r>
    </w:p>
    <w:p>
      <w:r>
        <w:drawing>
          <wp:inline distT="0" distB="0" distL="114300" distR="114300">
            <wp:extent cx="5264150" cy="2124710"/>
            <wp:effectExtent l="0" t="0" r="12700" b="8890"/>
            <wp:docPr id="14" name="图片 14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left="420"/>
        <w:outlineLvl w:val="2"/>
        <w:rPr>
          <w:rFonts w:ascii="Calibri" w:hAnsi="Calibri"/>
          <w:b/>
          <w:bCs/>
        </w:rPr>
      </w:pPr>
      <w:bookmarkStart w:id="29" w:name="_Toc15959"/>
      <w:r>
        <w:rPr>
          <w:rFonts w:ascii="Calibri" w:hAnsi="Calibri"/>
          <w:b/>
          <w:bCs/>
        </w:rPr>
        <w:t>③</w:t>
      </w:r>
      <w:r>
        <w:rPr>
          <w:rFonts w:hint="eastAsia" w:ascii="Calibri" w:hAnsi="Calibri"/>
          <w:b/>
          <w:bCs/>
        </w:rPr>
        <w:t>章节练习</w:t>
      </w:r>
      <w:bookmarkEnd w:id="29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章节练习可以查看分类下更细化的试题内容，点击“开始做题”进入试题列表页，以便进行单题训练；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274310" cy="2145665"/>
            <wp:effectExtent l="9525" t="9525" r="1206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outlineLvl w:val="2"/>
        <w:rPr>
          <w:rFonts w:ascii="Calibri" w:hAnsi="Calibri"/>
          <w:b/>
          <w:bCs/>
        </w:rPr>
      </w:pPr>
      <w:bookmarkStart w:id="30" w:name="_Toc8548"/>
      <w:r>
        <w:rPr>
          <w:rFonts w:ascii="Calibri" w:hAnsi="Calibri"/>
          <w:b/>
          <w:bCs/>
        </w:rPr>
        <w:t>④</w:t>
      </w:r>
      <w:r>
        <w:rPr>
          <w:rFonts w:hint="eastAsia" w:ascii="Calibri" w:hAnsi="Calibri"/>
          <w:b/>
          <w:bCs/>
        </w:rPr>
        <w:t>专项练习</w:t>
      </w:r>
      <w:bookmarkEnd w:id="30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高教题库提供类似于职业资格模块的“专项练习”功能。须选定具体的学科类别及试题样式，输入有效的试题数量，点击“开始练习”后使用其功能。</w:t>
      </w:r>
    </w:p>
    <w:p>
      <w:pPr>
        <w:jc w:val="center"/>
      </w:pPr>
      <w:r>
        <w:drawing>
          <wp:inline distT="0" distB="0" distL="0" distR="0">
            <wp:extent cx="5274310" cy="3263900"/>
            <wp:effectExtent l="9525" t="9525" r="12065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15"/>
        <w:numPr>
          <w:ilvl w:val="0"/>
          <w:numId w:val="2"/>
        </w:numPr>
        <w:ind w:firstLineChars="0"/>
        <w:outlineLvl w:val="1"/>
        <w:rPr>
          <w:b/>
          <w:bCs/>
        </w:rPr>
      </w:pPr>
      <w:bookmarkStart w:id="31" w:name="_Toc13073"/>
      <w:r>
        <w:rPr>
          <w:rFonts w:hint="eastAsia"/>
          <w:b/>
          <w:bCs/>
        </w:rPr>
        <w:t>移动应用模块</w:t>
      </w:r>
      <w:bookmarkEnd w:id="31"/>
    </w:p>
    <w:p>
      <w:pPr>
        <w:ind w:left="420"/>
        <w:outlineLvl w:val="2"/>
        <w:rPr>
          <w:rFonts w:ascii="Calibri" w:hAnsi="Calibri"/>
          <w:b/>
          <w:bCs/>
        </w:rPr>
      </w:pPr>
      <w:bookmarkStart w:id="32" w:name="_Toc16899"/>
      <w:r>
        <w:rPr>
          <w:rFonts w:ascii="Calibri" w:hAnsi="Calibri"/>
          <w:b/>
          <w:bCs/>
        </w:rPr>
        <w:t>①</w:t>
      </w:r>
      <w:r>
        <w:rPr>
          <w:rFonts w:hint="eastAsia" w:ascii="Calibri" w:hAnsi="Calibri"/>
          <w:b/>
          <w:bCs/>
        </w:rPr>
        <w:t>维普</w:t>
      </w:r>
      <w:r>
        <w:rPr>
          <w:rFonts w:hint="eastAsia" w:ascii="Calibri" w:hAnsi="Calibri"/>
          <w:b/>
          <w:bCs/>
          <w:lang w:eastAsia="zh-CN"/>
        </w:rPr>
        <w:t>考试</w:t>
      </w:r>
      <w:r>
        <w:rPr>
          <w:rFonts w:hint="eastAsia" w:ascii="Calibri" w:hAnsi="Calibri"/>
          <w:b/>
          <w:bCs/>
        </w:rPr>
        <w:t>APP</w:t>
      </w:r>
      <w:bookmarkEnd w:id="32"/>
    </w:p>
    <w:p>
      <w:pPr>
        <w:ind w:left="420"/>
        <w:rPr>
          <w:rFonts w:ascii="微软雅黑" w:hAnsi="微软雅黑" w:eastAsia="宋体" w:cs="宋体"/>
          <w:color w:val="333333"/>
          <w:kern w:val="0"/>
          <w:szCs w:val="21"/>
        </w:rPr>
      </w:pPr>
      <w:r>
        <w:rPr>
          <w:rFonts w:hint="eastAsia" w:ascii="Calibri" w:hAnsi="Calibri"/>
          <w:lang w:eastAsia="zh-CN"/>
        </w:rPr>
        <w:t>应用市场搜索</w:t>
      </w:r>
      <w:r>
        <w:rPr>
          <w:rFonts w:hint="eastAsia" w:ascii="Calibri" w:hAnsi="Calibri"/>
        </w:rPr>
        <w:t>“维普</w:t>
      </w:r>
      <w:r>
        <w:rPr>
          <w:rFonts w:hint="eastAsia" w:ascii="Calibri" w:hAnsi="Calibri"/>
          <w:lang w:eastAsia="zh-CN"/>
        </w:rPr>
        <w:t>考试</w:t>
      </w:r>
      <w:r>
        <w:rPr>
          <w:rFonts w:hint="eastAsia" w:ascii="Calibri" w:hAnsi="Calibri"/>
        </w:rPr>
        <w:t>”</w:t>
      </w:r>
      <w:r>
        <w:rPr>
          <w:rFonts w:hint="eastAsia" w:ascii="Calibri" w:hAnsi="Calibri"/>
          <w:lang w:eastAsia="zh-CN"/>
        </w:rPr>
        <w:t>，即可下载并</w:t>
      </w:r>
      <w:r>
        <w:rPr>
          <w:rFonts w:hint="eastAsia" w:ascii="Calibri" w:hAnsi="Calibri"/>
        </w:rPr>
        <w:t>使用。APP</w:t>
      </w:r>
      <w:r>
        <w:rPr>
          <w:rFonts w:ascii="Calibri" w:hAnsi="Calibri"/>
        </w:rPr>
        <w:t>支持个人用户注册</w:t>
      </w:r>
      <w:r>
        <w:rPr>
          <w:rFonts w:hint="eastAsia" w:ascii="Calibri" w:hAnsi="Calibri"/>
        </w:rPr>
        <w:t>，</w:t>
      </w:r>
      <w:r>
        <w:rPr>
          <w:rFonts w:ascii="微软雅黑" w:hAnsi="微软雅黑" w:eastAsia="宋体" w:cs="宋体"/>
          <w:color w:val="333333"/>
          <w:kern w:val="0"/>
          <w:szCs w:val="21"/>
        </w:rPr>
        <w:t>注册成功的个人用户可以绑定有权限的机构，进而使用</w:t>
      </w:r>
      <w:r>
        <w:rPr>
          <w:rFonts w:hint="eastAsia" w:ascii="微软雅黑" w:hAnsi="微软雅黑" w:eastAsia="宋体" w:cs="宋体"/>
          <w:color w:val="333333"/>
          <w:kern w:val="0"/>
          <w:szCs w:val="21"/>
        </w:rPr>
        <w:t>完整服务</w:t>
      </w:r>
      <w:r>
        <w:rPr>
          <w:rFonts w:ascii="微软雅黑" w:hAnsi="微软雅黑" w:eastAsia="宋体" w:cs="宋体"/>
          <w:color w:val="333333"/>
          <w:kern w:val="0"/>
          <w:szCs w:val="21"/>
        </w:rPr>
        <w:t>；绑定机构权限有两种途径：一是在机构的授权IP范围内直接绑定；二是扫描PC端</w:t>
      </w:r>
      <w:r>
        <w:rPr>
          <w:rFonts w:hint="eastAsia" w:ascii="微软雅黑" w:hAnsi="微软雅黑" w:eastAsia="宋体" w:cs="宋体"/>
          <w:color w:val="333333"/>
          <w:kern w:val="0"/>
          <w:szCs w:val="21"/>
        </w:rPr>
        <w:t>机构</w:t>
      </w:r>
      <w:r>
        <w:rPr>
          <w:rFonts w:ascii="微软雅黑" w:hAnsi="微软雅黑" w:eastAsia="宋体" w:cs="宋体"/>
          <w:color w:val="333333"/>
          <w:kern w:val="0"/>
          <w:szCs w:val="21"/>
        </w:rPr>
        <w:t>登录成功</w:t>
      </w:r>
      <w:r>
        <w:rPr>
          <w:rFonts w:hint="eastAsia" w:ascii="微软雅黑" w:hAnsi="微软雅黑" w:eastAsia="宋体" w:cs="宋体"/>
          <w:color w:val="333333"/>
          <w:kern w:val="0"/>
          <w:szCs w:val="21"/>
        </w:rPr>
        <w:t>后</w:t>
      </w:r>
      <w:r>
        <w:rPr>
          <w:rFonts w:ascii="微软雅黑" w:hAnsi="微软雅黑" w:eastAsia="宋体" w:cs="宋体"/>
          <w:color w:val="333333"/>
          <w:kern w:val="0"/>
          <w:szCs w:val="21"/>
        </w:rPr>
        <w:t>的二维码进行绑定；</w:t>
      </w:r>
    </w:p>
    <w:p>
      <w:pPr>
        <w:ind w:left="420"/>
        <w:rPr>
          <w:rFonts w:ascii="微软雅黑" w:hAnsi="微软雅黑" w:eastAsia="宋体" w:cs="宋体"/>
          <w:color w:val="333333"/>
          <w:kern w:val="0"/>
          <w:szCs w:val="21"/>
        </w:rPr>
      </w:pPr>
    </w:p>
    <w:p>
      <w:pPr>
        <w:ind w:right="-313" w:rightChars="-149"/>
        <w:rPr>
          <w:rFonts w:ascii="Calibri" w:hAnsi="Calibri"/>
        </w:rPr>
      </w:pPr>
      <w:r>
        <w:rPr>
          <w:highlight w:val="none"/>
        </w:rPr>
        <w:drawing>
          <wp:inline distT="0" distB="0" distL="114300" distR="114300">
            <wp:extent cx="1266190" cy="1510030"/>
            <wp:effectExtent l="9525" t="9525" r="19685" b="23495"/>
            <wp:docPr id="4" name="图片 4" descr="维普考试二维码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维普考试二维码新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5100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1367790" cy="2879725"/>
            <wp:effectExtent l="9525" t="9525" r="13335" b="25400"/>
            <wp:docPr id="17" name="内容占位符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内容占位符 6"/>
                    <pic:cNvPicPr>
                      <a:picLocks noChangeAspect="1"/>
                    </pic:cNvPicPr>
                  </pic:nvPicPr>
                  <pic:blipFill>
                    <a:blip r:embed="rId15"/>
                    <a:srcRect t="371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87972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6215" cy="2880360"/>
            <wp:effectExtent l="9525" t="9525" r="16510" b="24765"/>
            <wp:docPr id="18" name="图片 18" descr="考典绑定说明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考典绑定说明图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88036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ind w:right="-512" w:rightChars="-244"/>
        <w:outlineLvl w:val="9"/>
        <w:rPr>
          <w:rFonts w:ascii="Calibri" w:hAnsi="Calibri"/>
        </w:rPr>
      </w:pPr>
    </w:p>
    <w:p>
      <w:pPr>
        <w:ind w:left="420"/>
        <w:outlineLvl w:val="2"/>
        <w:rPr>
          <w:rFonts w:ascii="Calibri" w:hAnsi="Calibri"/>
          <w:b/>
          <w:bCs/>
        </w:rPr>
      </w:pPr>
      <w:bookmarkStart w:id="33" w:name="_Toc11250"/>
      <w:r>
        <w:rPr>
          <w:rFonts w:ascii="Calibri" w:hAnsi="Calibri"/>
          <w:b/>
          <w:bCs/>
        </w:rPr>
        <w:t>②</w:t>
      </w:r>
      <w:r>
        <w:rPr>
          <w:rFonts w:hint="eastAsia" w:ascii="Calibri" w:hAnsi="Calibri"/>
          <w:b/>
          <w:bCs/>
        </w:rPr>
        <w:t>维普</w:t>
      </w:r>
      <w:r>
        <w:rPr>
          <w:rFonts w:hint="eastAsia" w:ascii="Calibri" w:hAnsi="Calibri"/>
          <w:b/>
          <w:bCs/>
          <w:lang w:eastAsia="zh-CN"/>
        </w:rPr>
        <w:t>掌上</w:t>
      </w:r>
      <w:r>
        <w:rPr>
          <w:rFonts w:hint="eastAsia" w:ascii="Calibri" w:hAnsi="Calibri"/>
          <w:b/>
          <w:bCs/>
        </w:rPr>
        <w:t>题库</w:t>
      </w:r>
      <w:bookmarkEnd w:id="33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使用者通过机构提供的“维普</w:t>
      </w:r>
      <w:r>
        <w:rPr>
          <w:rFonts w:hint="eastAsia" w:ascii="Calibri" w:hAnsi="Calibri"/>
          <w:lang w:eastAsia="zh-CN"/>
        </w:rPr>
        <w:t>掌上</w:t>
      </w:r>
      <w:r>
        <w:rPr>
          <w:rFonts w:hint="eastAsia" w:ascii="Calibri" w:hAnsi="Calibri"/>
        </w:rPr>
        <w:t>题库”微信端入口</w:t>
      </w:r>
      <w:bookmarkStart w:id="39" w:name="_GoBack"/>
      <w:bookmarkEnd w:id="39"/>
      <w:r>
        <w:rPr>
          <w:rFonts w:hint="eastAsia" w:ascii="Calibri" w:hAnsi="Calibri"/>
        </w:rPr>
        <w:t>，可以自动</w:t>
      </w:r>
      <w:r>
        <w:rPr>
          <w:rFonts w:hint="eastAsia" w:ascii="Calibri" w:hAnsi="Calibri"/>
          <w:lang w:eastAsia="zh-CN"/>
        </w:rPr>
        <w:t>接入该功能</w:t>
      </w:r>
      <w:r>
        <w:rPr>
          <w:rFonts w:hint="eastAsia" w:ascii="Calibri" w:hAnsi="Calibri"/>
        </w:rPr>
        <w:t>。本功能只针对机构用户开放，机构用户要想使用“每日练题”、“做题记录”、“错题库”等个性化功能，还需登录个人账号，系统提供机构内个人用户的注册功能，但不支持机构外的个人用户注册登录。</w:t>
      </w:r>
    </w:p>
    <w:p>
      <w:pPr>
        <w:jc w:val="center"/>
      </w:pPr>
      <w:r>
        <w:drawing>
          <wp:inline distT="0" distB="0" distL="0" distR="0">
            <wp:extent cx="5274310" cy="2715260"/>
            <wp:effectExtent l="9525" t="9525" r="12065" b="18415"/>
            <wp:docPr id="26" name="图片 26" descr="C:\Users\ADMINI~1\AppData\Local\Temp\SNAGHTML202a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~1\AppData\Local\Temp\SNAGHTML202ae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outlineLvl w:val="1"/>
        <w:rPr>
          <w:rFonts w:hint="eastAsia"/>
          <w:b/>
          <w:bCs/>
        </w:rPr>
      </w:pPr>
      <w:bookmarkStart w:id="34" w:name="_Toc16837"/>
      <w:r>
        <w:br w:type="textWrapping"/>
      </w:r>
      <w:r>
        <w:rPr>
          <w:rFonts w:hint="eastAsia"/>
          <w:b/>
          <w:bCs/>
          <w:lang w:val="en-US" w:eastAsia="zh-CN"/>
        </w:rPr>
        <w:t>5、</w:t>
      </w:r>
      <w:r>
        <w:rPr>
          <w:rFonts w:hint="eastAsia"/>
          <w:b/>
          <w:bCs/>
        </w:rPr>
        <w:t>个人中心</w:t>
      </w:r>
      <w:bookmarkEnd w:id="34"/>
    </w:p>
    <w:p>
      <w:pPr>
        <w:ind w:left="420"/>
        <w:outlineLvl w:val="2"/>
        <w:rPr>
          <w:rFonts w:ascii="Calibri" w:hAnsi="Calibri"/>
          <w:b/>
          <w:bCs/>
        </w:rPr>
      </w:pPr>
      <w:bookmarkStart w:id="35" w:name="_Toc32154"/>
      <w:r>
        <w:rPr>
          <w:rFonts w:ascii="Calibri" w:hAnsi="Calibri"/>
          <w:b/>
          <w:bCs/>
        </w:rPr>
        <w:t>①</w:t>
      </w:r>
      <w:r>
        <w:rPr>
          <w:rFonts w:hint="eastAsia" w:ascii="Calibri" w:hAnsi="Calibri"/>
          <w:b/>
          <w:bCs/>
        </w:rPr>
        <w:t>登录个人中心</w:t>
      </w:r>
      <w:bookmarkEnd w:id="35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机构绑定IP地址显示已登录状态下，要想使用个性化功能，还需点击“个人中心”用个人账号进行登录。个性化功能包括记录使用平台的全部做卷记录、错题记录，收藏的试卷、收藏的试题等；</w:t>
      </w:r>
    </w:p>
    <w:p>
      <w:r>
        <w:drawing>
          <wp:inline distT="0" distB="0" distL="0" distR="0">
            <wp:extent cx="5274310" cy="2232660"/>
            <wp:effectExtent l="9525" t="9525" r="12065" b="247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outlineLvl w:val="2"/>
        <w:rPr>
          <w:rFonts w:ascii="Calibri" w:hAnsi="Calibri"/>
          <w:b/>
          <w:bCs/>
        </w:rPr>
      </w:pPr>
      <w:bookmarkStart w:id="36" w:name="_Toc10654"/>
      <w:r>
        <w:rPr>
          <w:rFonts w:ascii="Calibri" w:hAnsi="Calibri"/>
          <w:b/>
          <w:bCs/>
        </w:rPr>
        <w:t>②</w:t>
      </w:r>
      <w:r>
        <w:rPr>
          <w:rFonts w:hint="eastAsia" w:ascii="Calibri" w:hAnsi="Calibri"/>
          <w:b/>
          <w:bCs/>
        </w:rPr>
        <w:t>做卷记录</w:t>
      </w:r>
      <w:bookmarkEnd w:id="36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做卷记录将记录个人用户登录状态后，所有使用试卷的情况；</w:t>
      </w:r>
    </w:p>
    <w:p>
      <w:pPr>
        <w:ind w:left="420"/>
        <w:outlineLvl w:val="2"/>
        <w:rPr>
          <w:rFonts w:ascii="Calibri" w:hAnsi="Calibri"/>
          <w:b/>
          <w:bCs/>
        </w:rPr>
      </w:pPr>
      <w:bookmarkStart w:id="37" w:name="_Toc16569"/>
      <w:r>
        <w:rPr>
          <w:rFonts w:ascii="Calibri" w:hAnsi="Calibri"/>
          <w:b/>
          <w:bCs/>
        </w:rPr>
        <w:t>③</w:t>
      </w:r>
      <w:r>
        <w:rPr>
          <w:rFonts w:hint="eastAsia" w:ascii="Calibri" w:hAnsi="Calibri"/>
          <w:b/>
          <w:bCs/>
        </w:rPr>
        <w:t>错题库</w:t>
      </w:r>
      <w:bookmarkEnd w:id="37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错题库将记录使用者进行单题训练或在线模考时答错的客观题；错题库还提供错题组卷功能；</w:t>
      </w:r>
    </w:p>
    <w:p>
      <w:r>
        <w:drawing>
          <wp:inline distT="0" distB="0" distL="0" distR="0">
            <wp:extent cx="5274310" cy="2647950"/>
            <wp:effectExtent l="9525" t="9525" r="1206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420"/>
        <w:outlineLvl w:val="2"/>
        <w:rPr>
          <w:rFonts w:ascii="Calibri" w:hAnsi="Calibri"/>
          <w:b/>
          <w:bCs/>
        </w:rPr>
      </w:pPr>
      <w:bookmarkStart w:id="38" w:name="_Toc15584"/>
      <w:r>
        <w:rPr>
          <w:rFonts w:ascii="Calibri" w:hAnsi="Calibri"/>
          <w:b/>
          <w:bCs/>
        </w:rPr>
        <w:t>④</w:t>
      </w:r>
      <w:r>
        <w:rPr>
          <w:rFonts w:hint="eastAsia" w:ascii="Calibri" w:hAnsi="Calibri"/>
          <w:b/>
          <w:bCs/>
        </w:rPr>
        <w:t>收藏试卷</w:t>
      </w:r>
      <w:bookmarkEnd w:id="38"/>
    </w:p>
    <w:p>
      <w:pPr>
        <w:ind w:left="420"/>
        <w:rPr>
          <w:rFonts w:hint="eastAsia" w:ascii="Calibri" w:hAnsi="Calibri"/>
        </w:rPr>
      </w:pPr>
      <w:r>
        <w:rPr>
          <w:rFonts w:hint="eastAsia" w:ascii="Calibri" w:hAnsi="Calibri"/>
        </w:rPr>
        <w:t>收藏试卷将记录使用者全部收藏的试卷，并支持删除功能；</w:t>
      </w:r>
    </w:p>
    <w:p>
      <w:pPr>
        <w:rPr>
          <w:rFonts w:ascii="Calibri" w:hAnsi="Calibri"/>
          <w:b/>
          <w:bCs/>
        </w:rPr>
      </w:pPr>
      <w:r>
        <w:drawing>
          <wp:inline distT="0" distB="0" distL="0" distR="0">
            <wp:extent cx="5274310" cy="3274695"/>
            <wp:effectExtent l="9525" t="9525" r="12065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0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202180"/>
            <wp:effectExtent l="9525" t="9525" r="12065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</w:rPr>
        <w:t>⑤</w:t>
      </w:r>
      <w:r>
        <w:rPr>
          <w:rFonts w:hint="eastAsia" w:ascii="Calibri" w:hAnsi="Calibri"/>
          <w:b/>
          <w:bCs/>
        </w:rPr>
        <w:t>收藏试题</w:t>
      </w:r>
    </w:p>
    <w:p>
      <w:pPr>
        <w:ind w:left="420"/>
        <w:rPr>
          <w:rFonts w:ascii="Calibri" w:hAnsi="Calibri"/>
        </w:rPr>
      </w:pPr>
      <w:r>
        <w:rPr>
          <w:rFonts w:hint="eastAsia" w:ascii="Calibri" w:hAnsi="Calibri"/>
        </w:rPr>
        <w:t>收藏试题记录将记录使用者全部收藏的试题，并支持删除功能；</w:t>
      </w:r>
    </w:p>
    <w:bookmarkEnd w:id="13"/>
    <w:bookmarkEnd w:id="14"/>
    <w:p>
      <w:pPr>
        <w:ind w:left="42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564229"/>
    <w:multiLevelType w:val="singleLevel"/>
    <w:tmpl w:val="D056422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FC7120F"/>
    <w:multiLevelType w:val="multilevel"/>
    <w:tmpl w:val="2FC7120F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49"/>
    <w:rsid w:val="0000065D"/>
    <w:rsid w:val="00007F73"/>
    <w:rsid w:val="0001012E"/>
    <w:rsid w:val="00017556"/>
    <w:rsid w:val="00020CD0"/>
    <w:rsid w:val="00020FB2"/>
    <w:rsid w:val="00021D88"/>
    <w:rsid w:val="00025610"/>
    <w:rsid w:val="00027ACF"/>
    <w:rsid w:val="00027F4F"/>
    <w:rsid w:val="0003119A"/>
    <w:rsid w:val="000353CE"/>
    <w:rsid w:val="00037B7E"/>
    <w:rsid w:val="00045DC5"/>
    <w:rsid w:val="000478E2"/>
    <w:rsid w:val="00047CA0"/>
    <w:rsid w:val="00056017"/>
    <w:rsid w:val="00057E4B"/>
    <w:rsid w:val="00061568"/>
    <w:rsid w:val="0006455C"/>
    <w:rsid w:val="00066332"/>
    <w:rsid w:val="000725E4"/>
    <w:rsid w:val="0008617A"/>
    <w:rsid w:val="00086D3E"/>
    <w:rsid w:val="000923E7"/>
    <w:rsid w:val="000935A5"/>
    <w:rsid w:val="000938CC"/>
    <w:rsid w:val="00097CC0"/>
    <w:rsid w:val="000A171B"/>
    <w:rsid w:val="000B2100"/>
    <w:rsid w:val="000B5ACE"/>
    <w:rsid w:val="000C075C"/>
    <w:rsid w:val="000C2A8E"/>
    <w:rsid w:val="000C3A69"/>
    <w:rsid w:val="000D3A55"/>
    <w:rsid w:val="000D4206"/>
    <w:rsid w:val="000D5CE2"/>
    <w:rsid w:val="000E2E96"/>
    <w:rsid w:val="000E49DA"/>
    <w:rsid w:val="00100AA5"/>
    <w:rsid w:val="00101CF4"/>
    <w:rsid w:val="00102AFF"/>
    <w:rsid w:val="00107F26"/>
    <w:rsid w:val="00111967"/>
    <w:rsid w:val="00114D67"/>
    <w:rsid w:val="00133A97"/>
    <w:rsid w:val="00150033"/>
    <w:rsid w:val="001502FA"/>
    <w:rsid w:val="00150B24"/>
    <w:rsid w:val="00150F5D"/>
    <w:rsid w:val="001529A1"/>
    <w:rsid w:val="00155509"/>
    <w:rsid w:val="00155734"/>
    <w:rsid w:val="001625A4"/>
    <w:rsid w:val="00165AF2"/>
    <w:rsid w:val="00172B28"/>
    <w:rsid w:val="00174F04"/>
    <w:rsid w:val="00175767"/>
    <w:rsid w:val="00177A00"/>
    <w:rsid w:val="001811C4"/>
    <w:rsid w:val="00196260"/>
    <w:rsid w:val="00197D67"/>
    <w:rsid w:val="00197FDC"/>
    <w:rsid w:val="001A4509"/>
    <w:rsid w:val="001A76BE"/>
    <w:rsid w:val="001B05DD"/>
    <w:rsid w:val="001B5CBF"/>
    <w:rsid w:val="001B6D98"/>
    <w:rsid w:val="001C4D26"/>
    <w:rsid w:val="001C759F"/>
    <w:rsid w:val="001E0F8D"/>
    <w:rsid w:val="001E2033"/>
    <w:rsid w:val="001E519C"/>
    <w:rsid w:val="001E588F"/>
    <w:rsid w:val="001F186A"/>
    <w:rsid w:val="001F46BA"/>
    <w:rsid w:val="001F4F60"/>
    <w:rsid w:val="00200DA3"/>
    <w:rsid w:val="00201877"/>
    <w:rsid w:val="00206241"/>
    <w:rsid w:val="002072FD"/>
    <w:rsid w:val="00211ACD"/>
    <w:rsid w:val="002174FD"/>
    <w:rsid w:val="00221B5E"/>
    <w:rsid w:val="002230B0"/>
    <w:rsid w:val="00224F2C"/>
    <w:rsid w:val="002250DD"/>
    <w:rsid w:val="00226988"/>
    <w:rsid w:val="00240317"/>
    <w:rsid w:val="002418D8"/>
    <w:rsid w:val="00242293"/>
    <w:rsid w:val="002438F0"/>
    <w:rsid w:val="00246637"/>
    <w:rsid w:val="002473FB"/>
    <w:rsid w:val="00247ABD"/>
    <w:rsid w:val="002507DC"/>
    <w:rsid w:val="002512D8"/>
    <w:rsid w:val="002523FB"/>
    <w:rsid w:val="00253256"/>
    <w:rsid w:val="00253A2A"/>
    <w:rsid w:val="00255D95"/>
    <w:rsid w:val="00265789"/>
    <w:rsid w:val="0026787C"/>
    <w:rsid w:val="002710BB"/>
    <w:rsid w:val="002720D4"/>
    <w:rsid w:val="002759F3"/>
    <w:rsid w:val="00277D93"/>
    <w:rsid w:val="00280584"/>
    <w:rsid w:val="00283EA1"/>
    <w:rsid w:val="002843BD"/>
    <w:rsid w:val="002875F4"/>
    <w:rsid w:val="0028796B"/>
    <w:rsid w:val="00291715"/>
    <w:rsid w:val="002A4ED4"/>
    <w:rsid w:val="002C1517"/>
    <w:rsid w:val="002D09CC"/>
    <w:rsid w:val="002D263E"/>
    <w:rsid w:val="002D51BB"/>
    <w:rsid w:val="002D5B60"/>
    <w:rsid w:val="002F536E"/>
    <w:rsid w:val="003019C9"/>
    <w:rsid w:val="00313041"/>
    <w:rsid w:val="00316CBC"/>
    <w:rsid w:val="00334EA1"/>
    <w:rsid w:val="00342026"/>
    <w:rsid w:val="003437A4"/>
    <w:rsid w:val="003460AF"/>
    <w:rsid w:val="00350368"/>
    <w:rsid w:val="00350646"/>
    <w:rsid w:val="00355FD8"/>
    <w:rsid w:val="00370220"/>
    <w:rsid w:val="003715A1"/>
    <w:rsid w:val="00374D0E"/>
    <w:rsid w:val="00380624"/>
    <w:rsid w:val="00390134"/>
    <w:rsid w:val="003934A2"/>
    <w:rsid w:val="003A16CB"/>
    <w:rsid w:val="003B00F3"/>
    <w:rsid w:val="003B2135"/>
    <w:rsid w:val="003B33CE"/>
    <w:rsid w:val="003C23FA"/>
    <w:rsid w:val="003C7BFD"/>
    <w:rsid w:val="003D3130"/>
    <w:rsid w:val="003D63B2"/>
    <w:rsid w:val="003E5372"/>
    <w:rsid w:val="003F0589"/>
    <w:rsid w:val="003F459D"/>
    <w:rsid w:val="003F7BD8"/>
    <w:rsid w:val="00402308"/>
    <w:rsid w:val="00404899"/>
    <w:rsid w:val="004053E8"/>
    <w:rsid w:val="00412B9F"/>
    <w:rsid w:val="004133F8"/>
    <w:rsid w:val="00417E57"/>
    <w:rsid w:val="004235CC"/>
    <w:rsid w:val="00424136"/>
    <w:rsid w:val="0042724E"/>
    <w:rsid w:val="0043674B"/>
    <w:rsid w:val="004442D1"/>
    <w:rsid w:val="00447155"/>
    <w:rsid w:val="00451F21"/>
    <w:rsid w:val="004527A4"/>
    <w:rsid w:val="00455E35"/>
    <w:rsid w:val="00456CA5"/>
    <w:rsid w:val="00462550"/>
    <w:rsid w:val="00466D93"/>
    <w:rsid w:val="0047055D"/>
    <w:rsid w:val="00471E08"/>
    <w:rsid w:val="004736C7"/>
    <w:rsid w:val="00473F1A"/>
    <w:rsid w:val="00477E97"/>
    <w:rsid w:val="00493ED6"/>
    <w:rsid w:val="00495340"/>
    <w:rsid w:val="0049611D"/>
    <w:rsid w:val="004A32EC"/>
    <w:rsid w:val="004A5C58"/>
    <w:rsid w:val="004A6677"/>
    <w:rsid w:val="004A6AC5"/>
    <w:rsid w:val="004B1E14"/>
    <w:rsid w:val="004B242A"/>
    <w:rsid w:val="004B3A74"/>
    <w:rsid w:val="004B5958"/>
    <w:rsid w:val="004B6642"/>
    <w:rsid w:val="004B6FD8"/>
    <w:rsid w:val="004C4704"/>
    <w:rsid w:val="004C7E03"/>
    <w:rsid w:val="004D3796"/>
    <w:rsid w:val="004D6D25"/>
    <w:rsid w:val="004E327E"/>
    <w:rsid w:val="004E36F6"/>
    <w:rsid w:val="004E3CF5"/>
    <w:rsid w:val="004F0B81"/>
    <w:rsid w:val="004F7326"/>
    <w:rsid w:val="004F7EC4"/>
    <w:rsid w:val="004F7F14"/>
    <w:rsid w:val="0050105C"/>
    <w:rsid w:val="00505F3C"/>
    <w:rsid w:val="00507C58"/>
    <w:rsid w:val="00514368"/>
    <w:rsid w:val="00515336"/>
    <w:rsid w:val="005176F6"/>
    <w:rsid w:val="00523791"/>
    <w:rsid w:val="00523F2E"/>
    <w:rsid w:val="0052556C"/>
    <w:rsid w:val="005314E9"/>
    <w:rsid w:val="00541182"/>
    <w:rsid w:val="00541ECD"/>
    <w:rsid w:val="005433A3"/>
    <w:rsid w:val="005435DE"/>
    <w:rsid w:val="00547AB2"/>
    <w:rsid w:val="00550DC2"/>
    <w:rsid w:val="00553152"/>
    <w:rsid w:val="00553E51"/>
    <w:rsid w:val="00555CBC"/>
    <w:rsid w:val="0055741C"/>
    <w:rsid w:val="005604EF"/>
    <w:rsid w:val="00567804"/>
    <w:rsid w:val="00572378"/>
    <w:rsid w:val="00572CBB"/>
    <w:rsid w:val="00573154"/>
    <w:rsid w:val="0057420D"/>
    <w:rsid w:val="00581710"/>
    <w:rsid w:val="00583AC5"/>
    <w:rsid w:val="005849AC"/>
    <w:rsid w:val="005A1E17"/>
    <w:rsid w:val="005A1FE1"/>
    <w:rsid w:val="005A5E50"/>
    <w:rsid w:val="005B2DA8"/>
    <w:rsid w:val="005B3E5C"/>
    <w:rsid w:val="005B4609"/>
    <w:rsid w:val="005B730C"/>
    <w:rsid w:val="005C0C8D"/>
    <w:rsid w:val="005C0CC9"/>
    <w:rsid w:val="005C0D07"/>
    <w:rsid w:val="005C180D"/>
    <w:rsid w:val="005C2135"/>
    <w:rsid w:val="005C2684"/>
    <w:rsid w:val="005C3362"/>
    <w:rsid w:val="005C5346"/>
    <w:rsid w:val="005C7DFA"/>
    <w:rsid w:val="005E2AE4"/>
    <w:rsid w:val="005F1199"/>
    <w:rsid w:val="005F2E0A"/>
    <w:rsid w:val="005F5196"/>
    <w:rsid w:val="00602573"/>
    <w:rsid w:val="00603950"/>
    <w:rsid w:val="00613E2E"/>
    <w:rsid w:val="00626211"/>
    <w:rsid w:val="00626A2B"/>
    <w:rsid w:val="00627504"/>
    <w:rsid w:val="006279D1"/>
    <w:rsid w:val="006321EB"/>
    <w:rsid w:val="00641408"/>
    <w:rsid w:val="00643683"/>
    <w:rsid w:val="00652116"/>
    <w:rsid w:val="00660139"/>
    <w:rsid w:val="00665689"/>
    <w:rsid w:val="00671333"/>
    <w:rsid w:val="006720A4"/>
    <w:rsid w:val="0068082B"/>
    <w:rsid w:val="00681B3B"/>
    <w:rsid w:val="00686770"/>
    <w:rsid w:val="0068708A"/>
    <w:rsid w:val="00690056"/>
    <w:rsid w:val="00694C50"/>
    <w:rsid w:val="006A48F5"/>
    <w:rsid w:val="006A56D3"/>
    <w:rsid w:val="006B2BAD"/>
    <w:rsid w:val="006B467E"/>
    <w:rsid w:val="006B5B6F"/>
    <w:rsid w:val="006C0329"/>
    <w:rsid w:val="006C399C"/>
    <w:rsid w:val="006C62BB"/>
    <w:rsid w:val="006C62E2"/>
    <w:rsid w:val="006C6E5C"/>
    <w:rsid w:val="006D22B8"/>
    <w:rsid w:val="006E0FF4"/>
    <w:rsid w:val="006E13DA"/>
    <w:rsid w:val="006E3FA0"/>
    <w:rsid w:val="006F70FA"/>
    <w:rsid w:val="00702870"/>
    <w:rsid w:val="00706997"/>
    <w:rsid w:val="00706E57"/>
    <w:rsid w:val="00712861"/>
    <w:rsid w:val="007154C5"/>
    <w:rsid w:val="00716835"/>
    <w:rsid w:val="00727CF0"/>
    <w:rsid w:val="00737299"/>
    <w:rsid w:val="00742E76"/>
    <w:rsid w:val="00743320"/>
    <w:rsid w:val="007435D3"/>
    <w:rsid w:val="00744749"/>
    <w:rsid w:val="00753508"/>
    <w:rsid w:val="007543F2"/>
    <w:rsid w:val="0075793D"/>
    <w:rsid w:val="00764DCA"/>
    <w:rsid w:val="00766A0A"/>
    <w:rsid w:val="00771D1A"/>
    <w:rsid w:val="00772398"/>
    <w:rsid w:val="007763A4"/>
    <w:rsid w:val="00780C65"/>
    <w:rsid w:val="00781F1D"/>
    <w:rsid w:val="007908CC"/>
    <w:rsid w:val="007A1401"/>
    <w:rsid w:val="007A2E5B"/>
    <w:rsid w:val="007B45F3"/>
    <w:rsid w:val="007B48A6"/>
    <w:rsid w:val="007B4B66"/>
    <w:rsid w:val="007B56B2"/>
    <w:rsid w:val="007B7292"/>
    <w:rsid w:val="007D4043"/>
    <w:rsid w:val="007D5195"/>
    <w:rsid w:val="007E02CF"/>
    <w:rsid w:val="007E7F6D"/>
    <w:rsid w:val="007F525C"/>
    <w:rsid w:val="007F53F1"/>
    <w:rsid w:val="00802C58"/>
    <w:rsid w:val="00803366"/>
    <w:rsid w:val="00804D5C"/>
    <w:rsid w:val="00813B62"/>
    <w:rsid w:val="00816FB2"/>
    <w:rsid w:val="00817B8C"/>
    <w:rsid w:val="00824BED"/>
    <w:rsid w:val="00824DFE"/>
    <w:rsid w:val="00826E08"/>
    <w:rsid w:val="00827651"/>
    <w:rsid w:val="00830E58"/>
    <w:rsid w:val="00834222"/>
    <w:rsid w:val="00834538"/>
    <w:rsid w:val="0084371F"/>
    <w:rsid w:val="00845CD8"/>
    <w:rsid w:val="008575BF"/>
    <w:rsid w:val="00860970"/>
    <w:rsid w:val="00860A25"/>
    <w:rsid w:val="008618C1"/>
    <w:rsid w:val="00862464"/>
    <w:rsid w:val="00862E25"/>
    <w:rsid w:val="00865388"/>
    <w:rsid w:val="00865527"/>
    <w:rsid w:val="00867745"/>
    <w:rsid w:val="00873CA2"/>
    <w:rsid w:val="0087437F"/>
    <w:rsid w:val="0087647B"/>
    <w:rsid w:val="008A144B"/>
    <w:rsid w:val="008A330A"/>
    <w:rsid w:val="008A709C"/>
    <w:rsid w:val="008B3769"/>
    <w:rsid w:val="008B4E9C"/>
    <w:rsid w:val="008B58B0"/>
    <w:rsid w:val="008E12FB"/>
    <w:rsid w:val="008E4405"/>
    <w:rsid w:val="008E4487"/>
    <w:rsid w:val="008E6695"/>
    <w:rsid w:val="008F6E45"/>
    <w:rsid w:val="0090042C"/>
    <w:rsid w:val="00901956"/>
    <w:rsid w:val="00906AA0"/>
    <w:rsid w:val="00913342"/>
    <w:rsid w:val="00914411"/>
    <w:rsid w:val="00917661"/>
    <w:rsid w:val="00925C7B"/>
    <w:rsid w:val="00925EF4"/>
    <w:rsid w:val="00934C28"/>
    <w:rsid w:val="00946CB3"/>
    <w:rsid w:val="0095134C"/>
    <w:rsid w:val="00952B06"/>
    <w:rsid w:val="0095749B"/>
    <w:rsid w:val="00965D0C"/>
    <w:rsid w:val="00966188"/>
    <w:rsid w:val="00966433"/>
    <w:rsid w:val="00974DCC"/>
    <w:rsid w:val="00975039"/>
    <w:rsid w:val="00985592"/>
    <w:rsid w:val="0098672C"/>
    <w:rsid w:val="00987E7C"/>
    <w:rsid w:val="009907A4"/>
    <w:rsid w:val="009936CA"/>
    <w:rsid w:val="00993C8F"/>
    <w:rsid w:val="009A141B"/>
    <w:rsid w:val="009A575C"/>
    <w:rsid w:val="009A6292"/>
    <w:rsid w:val="009A685F"/>
    <w:rsid w:val="009A7006"/>
    <w:rsid w:val="009B0FEE"/>
    <w:rsid w:val="009B34DC"/>
    <w:rsid w:val="009B3AB9"/>
    <w:rsid w:val="009C05B0"/>
    <w:rsid w:val="009C6832"/>
    <w:rsid w:val="009D27A9"/>
    <w:rsid w:val="009E2963"/>
    <w:rsid w:val="009E5CB2"/>
    <w:rsid w:val="009E60D2"/>
    <w:rsid w:val="009F2054"/>
    <w:rsid w:val="009F2F63"/>
    <w:rsid w:val="009F573D"/>
    <w:rsid w:val="00A01BC5"/>
    <w:rsid w:val="00A01ED3"/>
    <w:rsid w:val="00A10779"/>
    <w:rsid w:val="00A15499"/>
    <w:rsid w:val="00A15B2E"/>
    <w:rsid w:val="00A16E1F"/>
    <w:rsid w:val="00A2240B"/>
    <w:rsid w:val="00A249B2"/>
    <w:rsid w:val="00A2617C"/>
    <w:rsid w:val="00A405DC"/>
    <w:rsid w:val="00A4701C"/>
    <w:rsid w:val="00A51FDF"/>
    <w:rsid w:val="00A52AE5"/>
    <w:rsid w:val="00A539B7"/>
    <w:rsid w:val="00A54CB7"/>
    <w:rsid w:val="00A60365"/>
    <w:rsid w:val="00A64C2C"/>
    <w:rsid w:val="00A65541"/>
    <w:rsid w:val="00A70F96"/>
    <w:rsid w:val="00A72890"/>
    <w:rsid w:val="00A72AB9"/>
    <w:rsid w:val="00A74A7D"/>
    <w:rsid w:val="00A81AED"/>
    <w:rsid w:val="00A82E37"/>
    <w:rsid w:val="00A869DF"/>
    <w:rsid w:val="00A940B1"/>
    <w:rsid w:val="00AA5C1D"/>
    <w:rsid w:val="00AA69AD"/>
    <w:rsid w:val="00AB39BA"/>
    <w:rsid w:val="00AB67D8"/>
    <w:rsid w:val="00AB793F"/>
    <w:rsid w:val="00AC03CE"/>
    <w:rsid w:val="00AC0489"/>
    <w:rsid w:val="00AC76C4"/>
    <w:rsid w:val="00AD120A"/>
    <w:rsid w:val="00AD7C3C"/>
    <w:rsid w:val="00B05969"/>
    <w:rsid w:val="00B111E0"/>
    <w:rsid w:val="00B17EE8"/>
    <w:rsid w:val="00B23ED1"/>
    <w:rsid w:val="00B243A4"/>
    <w:rsid w:val="00B254F5"/>
    <w:rsid w:val="00B25E42"/>
    <w:rsid w:val="00B34C5B"/>
    <w:rsid w:val="00B36A30"/>
    <w:rsid w:val="00B40CFA"/>
    <w:rsid w:val="00B40D6E"/>
    <w:rsid w:val="00B47B8E"/>
    <w:rsid w:val="00B51B28"/>
    <w:rsid w:val="00B567BD"/>
    <w:rsid w:val="00B576A6"/>
    <w:rsid w:val="00B612C7"/>
    <w:rsid w:val="00B64567"/>
    <w:rsid w:val="00B73240"/>
    <w:rsid w:val="00B76925"/>
    <w:rsid w:val="00B813D7"/>
    <w:rsid w:val="00B82811"/>
    <w:rsid w:val="00B87426"/>
    <w:rsid w:val="00BA4204"/>
    <w:rsid w:val="00BA7630"/>
    <w:rsid w:val="00BB1423"/>
    <w:rsid w:val="00BC51CB"/>
    <w:rsid w:val="00BC721A"/>
    <w:rsid w:val="00BD53ED"/>
    <w:rsid w:val="00BD76D8"/>
    <w:rsid w:val="00BE24F6"/>
    <w:rsid w:val="00BE29E5"/>
    <w:rsid w:val="00BF5B6E"/>
    <w:rsid w:val="00C0306F"/>
    <w:rsid w:val="00C03A46"/>
    <w:rsid w:val="00C03B37"/>
    <w:rsid w:val="00C065C9"/>
    <w:rsid w:val="00C072A4"/>
    <w:rsid w:val="00C1202C"/>
    <w:rsid w:val="00C154A6"/>
    <w:rsid w:val="00C1660F"/>
    <w:rsid w:val="00C17844"/>
    <w:rsid w:val="00C224B2"/>
    <w:rsid w:val="00C2610D"/>
    <w:rsid w:val="00C317B8"/>
    <w:rsid w:val="00C33BF0"/>
    <w:rsid w:val="00C36BF4"/>
    <w:rsid w:val="00C37124"/>
    <w:rsid w:val="00C4554C"/>
    <w:rsid w:val="00C5044E"/>
    <w:rsid w:val="00C50E06"/>
    <w:rsid w:val="00C554C5"/>
    <w:rsid w:val="00C623B7"/>
    <w:rsid w:val="00C62C16"/>
    <w:rsid w:val="00C72E85"/>
    <w:rsid w:val="00C738C3"/>
    <w:rsid w:val="00C75041"/>
    <w:rsid w:val="00C83BCE"/>
    <w:rsid w:val="00C868D3"/>
    <w:rsid w:val="00C8763B"/>
    <w:rsid w:val="00C9177D"/>
    <w:rsid w:val="00C94B54"/>
    <w:rsid w:val="00C94DCD"/>
    <w:rsid w:val="00C958C4"/>
    <w:rsid w:val="00C97AFA"/>
    <w:rsid w:val="00CA2EA1"/>
    <w:rsid w:val="00CB38AB"/>
    <w:rsid w:val="00CB6217"/>
    <w:rsid w:val="00CC0306"/>
    <w:rsid w:val="00CC0D73"/>
    <w:rsid w:val="00CC1A19"/>
    <w:rsid w:val="00CC28BE"/>
    <w:rsid w:val="00CC6A09"/>
    <w:rsid w:val="00CC7A1B"/>
    <w:rsid w:val="00CD066B"/>
    <w:rsid w:val="00CD2377"/>
    <w:rsid w:val="00CD2564"/>
    <w:rsid w:val="00CD423E"/>
    <w:rsid w:val="00CE0B64"/>
    <w:rsid w:val="00CE19FF"/>
    <w:rsid w:val="00CF6FF5"/>
    <w:rsid w:val="00D15034"/>
    <w:rsid w:val="00D20F58"/>
    <w:rsid w:val="00D20FF9"/>
    <w:rsid w:val="00D24E7D"/>
    <w:rsid w:val="00D37D9F"/>
    <w:rsid w:val="00D418A8"/>
    <w:rsid w:val="00D41C39"/>
    <w:rsid w:val="00D45081"/>
    <w:rsid w:val="00D45529"/>
    <w:rsid w:val="00D61BF4"/>
    <w:rsid w:val="00D63D61"/>
    <w:rsid w:val="00D65030"/>
    <w:rsid w:val="00D65889"/>
    <w:rsid w:val="00D74A79"/>
    <w:rsid w:val="00D8057F"/>
    <w:rsid w:val="00D81886"/>
    <w:rsid w:val="00D8352F"/>
    <w:rsid w:val="00D85CAC"/>
    <w:rsid w:val="00D9369A"/>
    <w:rsid w:val="00D97DC9"/>
    <w:rsid w:val="00DA1BEE"/>
    <w:rsid w:val="00DA2B81"/>
    <w:rsid w:val="00DB1E3E"/>
    <w:rsid w:val="00DC2507"/>
    <w:rsid w:val="00DC7CF7"/>
    <w:rsid w:val="00DD1277"/>
    <w:rsid w:val="00DE4D61"/>
    <w:rsid w:val="00DE5994"/>
    <w:rsid w:val="00DE71BE"/>
    <w:rsid w:val="00DF4D92"/>
    <w:rsid w:val="00DF6A72"/>
    <w:rsid w:val="00DF764F"/>
    <w:rsid w:val="00E00C69"/>
    <w:rsid w:val="00E04113"/>
    <w:rsid w:val="00E06675"/>
    <w:rsid w:val="00E10EA9"/>
    <w:rsid w:val="00E113D5"/>
    <w:rsid w:val="00E122CD"/>
    <w:rsid w:val="00E12FC5"/>
    <w:rsid w:val="00E146B8"/>
    <w:rsid w:val="00E14BDB"/>
    <w:rsid w:val="00E15AE4"/>
    <w:rsid w:val="00E15DFC"/>
    <w:rsid w:val="00E17C70"/>
    <w:rsid w:val="00E22F5B"/>
    <w:rsid w:val="00E27529"/>
    <w:rsid w:val="00E332A5"/>
    <w:rsid w:val="00E3611F"/>
    <w:rsid w:val="00E37346"/>
    <w:rsid w:val="00E37922"/>
    <w:rsid w:val="00E40C77"/>
    <w:rsid w:val="00E4533B"/>
    <w:rsid w:val="00E52911"/>
    <w:rsid w:val="00E53485"/>
    <w:rsid w:val="00E53AEB"/>
    <w:rsid w:val="00E55B30"/>
    <w:rsid w:val="00E5740B"/>
    <w:rsid w:val="00E574CE"/>
    <w:rsid w:val="00E57A00"/>
    <w:rsid w:val="00E61D55"/>
    <w:rsid w:val="00E64AE6"/>
    <w:rsid w:val="00E64D0F"/>
    <w:rsid w:val="00E71814"/>
    <w:rsid w:val="00E72DEA"/>
    <w:rsid w:val="00E75BE4"/>
    <w:rsid w:val="00E76A0A"/>
    <w:rsid w:val="00E771F3"/>
    <w:rsid w:val="00E80638"/>
    <w:rsid w:val="00E808A7"/>
    <w:rsid w:val="00E80DF0"/>
    <w:rsid w:val="00E87E2A"/>
    <w:rsid w:val="00E901AD"/>
    <w:rsid w:val="00E94B1D"/>
    <w:rsid w:val="00EA6DAE"/>
    <w:rsid w:val="00EB18A8"/>
    <w:rsid w:val="00EB2749"/>
    <w:rsid w:val="00EB438A"/>
    <w:rsid w:val="00EB5A5E"/>
    <w:rsid w:val="00EB6339"/>
    <w:rsid w:val="00EC1C4A"/>
    <w:rsid w:val="00EC39F1"/>
    <w:rsid w:val="00ED3C34"/>
    <w:rsid w:val="00EE0BE7"/>
    <w:rsid w:val="00EE0E9C"/>
    <w:rsid w:val="00EE2D88"/>
    <w:rsid w:val="00EE4B48"/>
    <w:rsid w:val="00EF328E"/>
    <w:rsid w:val="00EF4D87"/>
    <w:rsid w:val="00EF594C"/>
    <w:rsid w:val="00EF744B"/>
    <w:rsid w:val="00F0608E"/>
    <w:rsid w:val="00F14ECB"/>
    <w:rsid w:val="00F17380"/>
    <w:rsid w:val="00F201FD"/>
    <w:rsid w:val="00F20F49"/>
    <w:rsid w:val="00F266A2"/>
    <w:rsid w:val="00F3528A"/>
    <w:rsid w:val="00F359E5"/>
    <w:rsid w:val="00F41022"/>
    <w:rsid w:val="00F42573"/>
    <w:rsid w:val="00F4697B"/>
    <w:rsid w:val="00F473E1"/>
    <w:rsid w:val="00F50F8C"/>
    <w:rsid w:val="00F7447C"/>
    <w:rsid w:val="00F85388"/>
    <w:rsid w:val="00F92B74"/>
    <w:rsid w:val="00F9415E"/>
    <w:rsid w:val="00F94FE6"/>
    <w:rsid w:val="00F96A95"/>
    <w:rsid w:val="00FB2BF1"/>
    <w:rsid w:val="00FB51B8"/>
    <w:rsid w:val="00FC4EC6"/>
    <w:rsid w:val="00FC5643"/>
    <w:rsid w:val="00FC5EDD"/>
    <w:rsid w:val="00FC7C52"/>
    <w:rsid w:val="00FD4EF5"/>
    <w:rsid w:val="00FD5051"/>
    <w:rsid w:val="00FE2042"/>
    <w:rsid w:val="00FE58FB"/>
    <w:rsid w:val="00FE6C25"/>
    <w:rsid w:val="00FF2C2A"/>
    <w:rsid w:val="00FF7C65"/>
    <w:rsid w:val="04B60AAD"/>
    <w:rsid w:val="066917E8"/>
    <w:rsid w:val="0A0D54ED"/>
    <w:rsid w:val="0B25111A"/>
    <w:rsid w:val="0FB30A8D"/>
    <w:rsid w:val="1DB47D3F"/>
    <w:rsid w:val="1DEA33E5"/>
    <w:rsid w:val="1EF01131"/>
    <w:rsid w:val="24205411"/>
    <w:rsid w:val="2447494D"/>
    <w:rsid w:val="27DF0795"/>
    <w:rsid w:val="339F5B3A"/>
    <w:rsid w:val="43A82219"/>
    <w:rsid w:val="44790FC2"/>
    <w:rsid w:val="47983505"/>
    <w:rsid w:val="47E83743"/>
    <w:rsid w:val="48851207"/>
    <w:rsid w:val="4E76692F"/>
    <w:rsid w:val="4FEB2E87"/>
    <w:rsid w:val="5B8E6D20"/>
    <w:rsid w:val="60E8632B"/>
    <w:rsid w:val="61860256"/>
    <w:rsid w:val="682976C9"/>
    <w:rsid w:val="6A8E658A"/>
    <w:rsid w:val="6E6419AD"/>
    <w:rsid w:val="6F4A36C2"/>
    <w:rsid w:val="7394000B"/>
    <w:rsid w:val="7EF0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qFormat="1" w:uiPriority="39" w:semiHidden="0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3">
    <w:name w:val="toc 3"/>
    <w:basedOn w:val="1"/>
    <w:next w:val="1"/>
    <w:unhideWhenUsed/>
    <w:uiPriority w:val="39"/>
    <w:pPr>
      <w:ind w:left="840" w:leftChars="400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spacing w:line="276" w:lineRule="auto"/>
    </w:pPr>
    <w:rPr>
      <w:color w:val="FF0000"/>
    </w:rPr>
  </w:style>
  <w:style w:type="paragraph" w:styleId="8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3"/>
    <w:link w:val="4"/>
    <w:semiHidden/>
    <w:qFormat/>
    <w:uiPriority w:val="99"/>
    <w:rPr>
      <w:sz w:val="18"/>
      <w:szCs w:val="18"/>
    </w:rPr>
  </w:style>
  <w:style w:type="character" w:customStyle="1" w:styleId="17">
    <w:name w:val="页眉 Char"/>
    <w:basedOn w:val="13"/>
    <w:link w:val="6"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5"/>
    <w:qFormat/>
    <w:uiPriority w:val="99"/>
    <w:rPr>
      <w:sz w:val="18"/>
      <w:szCs w:val="18"/>
    </w:rPr>
  </w:style>
  <w:style w:type="character" w:customStyle="1" w:styleId="19">
    <w:name w:val="副标题 Char"/>
    <w:basedOn w:val="13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7DF2A7-8CA4-42D4-9971-152C33154F0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242</Words>
  <Characters>1383</Characters>
  <Lines>11</Lines>
  <Paragraphs>3</Paragraphs>
  <TotalTime>0</TotalTime>
  <ScaleCrop>false</ScaleCrop>
  <LinksUpToDate>false</LinksUpToDate>
  <CharactersWithSpaces>1622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2019-03-15T07:57:00Z</dcterms:created>
  <dc:creator>AutoBVT</dc:creator>
  <cp:lastModifiedBy>令狐盈盈</cp:lastModifiedBy>
  <dcterms:modified xsi:type="dcterms:W3CDTF">2021-03-31T01:00:05Z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